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sz w:val="36"/>
          <w:szCs w:val="36"/>
        </w:rPr>
        <w:t xml:space="preserve">Datenschutz für Tennisstunden</w:t>
      </w:r>
    </w:p>
    <w:p>
      <w:pPr>
        <w:spacing w:after="320"/>
      </w:pPr>
      <w:r>
        <w:rPr>
          <w:i/>
          <w:iCs/>
          <w:color w:val="666666"/>
        </w:rPr>
        <w:t xml:space="preserve">Kompaktleitfaden für eine Tennisschule in der Schweiz · Stand April 2026</w:t>
      </w:r>
    </w:p>
    <w:p>
      <w:pPr>
        <w:pStyle w:val="Heading1"/>
      </w:pPr>
      <w:r>
        <w:t xml:space="preserve">Worum es geht</w:t>
      </w:r>
    </w:p>
    <w:p>
      <w:pPr>
        <w:spacing w:after="120"/>
      </w:pPr>
      <w:r>
        <w:t xml:space="preserve">Sobald ein Anmeldeformular ausgefüllt wird, werden Personendaten erhoben und verarbeitet — also Informationen, die einer bestimmten Person zugeordnet werden können (Name, Adresse, Geburtsdatum, AHV-Nummer, Kontaktangaben). Damit greift das Schweizer Datenschutzgesetz (nDSG). Bei Schülerinnen und Schülern mit Wohnsitz in der EU kommt zusätzlich die DSGVO zum Tragen; im Zweifel gilt die strengere Vorgabe. Für eine Tennisschule heisst das in der Praxis: transparent informieren, nur erheben was nötig ist, sicher aufbewahren, rechtzeitig löschen.</w:t>
      </w:r>
    </w:p>
    <w:p>
      <w:pPr>
        <w:pStyle w:val="Heading1"/>
      </w:pPr>
      <w:r>
        <w:t xml:space="preserve">1. Rechtsgrundlagen</w:t>
      </w:r>
    </w:p>
    <w:p>
      <w:pPr>
        <w:spacing w:after="120"/>
      </w:pPr>
      <w:r>
        <w:rPr>
          <w:b/>
          <w:bCs/>
        </w:rPr>
        <w:t xml:space="preserve">nDSG (Schweiz): </w:t>
      </w:r>
      <w:r>
        <w:t xml:space="preserve">Art. 6 (Grundsätze: Rechtmässigkeit, Verhältnismässigkeit, Zweckbindung, Datenminimierung), Art. 8 (Datensicherheit), Art. 19 (Informationspflicht bei Erhebung), Art. 24 (Meldepflicht bei Datenschutzverletzung), Art. 25 (Auskunftsrecht), Art. 31 (Einwilligung, u.a. für besonders schützenswerte Daten).</w:t>
      </w:r>
    </w:p>
    <w:p>
      <w:pPr>
        <w:spacing w:after="120"/>
      </w:pPr>
      <w:r>
        <w:rPr>
          <w:b/>
          <w:bCs/>
        </w:rPr>
        <w:t xml:space="preserve">DSGVO (EU): </w:t>
      </w:r>
      <w:r>
        <w:t xml:space="preserve">zusätzlich anwendbar bei Schülern mit Wohnsitz in der EU. Art. 5 (Grundsätze), Art. 6 (Rechtmässigkeit), Art. 8 (Einwilligung Minderjähriger — Deutschland ab 16, Frankreich ab 15), Art. 13 (Informationspflicht).</w:t>
      </w:r>
    </w:p>
    <w:p>
      <w:pPr>
        <w:spacing w:after="120"/>
      </w:pPr>
      <w:r>
        <w:rPr>
          <w:b/>
          <w:bCs/>
        </w:rPr>
        <w:t xml:space="preserve">AHVG: </w:t>
      </w:r>
      <w:r>
        <w:t xml:space="preserve">Art. 50c–50e regeln die systematische Verwendung der AHV-Nummer. Private Stellen dürfen sie für klar definierte Zwecke verwenden — etwa für J+S-Anmeldungen oder Swiss Tennis-Lizenzen.</w:t>
      </w:r>
    </w:p>
    <w:p>
      <w:pPr>
        <w:spacing w:after="120"/>
      </w:pPr>
      <w:r>
        <w:rPr>
          <w:b/>
          <w:bCs/>
        </w:rPr>
        <w:t xml:space="preserve">OR: </w:t>
      </w:r>
      <w:r>
        <w:t xml:space="preserve">Art. 958f verlangt eine Aufbewahrung der Geschäftsbücher, Buchungsbelege und Rechnungen von 10 Jahren. Das gilt parallel zur Löschpflicht aus dem nDSG — relevant für Rechnungen an Schüler und Eltern.</w:t>
      </w:r>
    </w:p>
    <w:p>
      <w:pPr>
        <w:spacing w:after="120"/>
      </w:pPr>
      <w:r>
        <w:t xml:space="preserve"/>
      </w:r>
    </w:p>
    <w:p>
      <w:pPr>
        <w:pStyle w:val="Heading1"/>
      </w:pPr>
      <w:r>
        <w:t xml:space="preserve">2. Ab sofort — auf allen neuen Formularen</w:t>
      </w:r>
    </w:p>
    <w:p>
      <w:pPr>
        <w:pStyle w:val="Heading2"/>
      </w:pPr>
      <w:r>
        <w:t xml:space="preserve">(a) Datenschutzhinweis ist Pflicht — der wichtigste Punkt</w:t>
      </w:r>
    </w:p>
    <w:p>
      <w:pPr>
        <w:spacing w:after="120"/>
      </w:pPr>
      <w:r>
        <w:t xml:space="preserve">Art. 19 nDSG (und Art. 13 DSGVO) verlangen, dass die betroffene Person zum Zeitpunkt der Datenerhebung informiert wird: wer die Daten erhebt, zu welchem Zweck, wie lange sie aufbewahrt werden, ob sie weitergegeben werden, und welche Rechte (Auskunft, Berichtigung, Löschung) die Person hat. Ohne diesen Hinweis ist die Erhebung formell nicht rechtskonform.</w:t>
      </w:r>
    </w:p>
    <w:p>
      <w:pPr>
        <w:spacing w:after="120"/>
      </w:pPr>
      <w:r>
        <w:t xml:space="preserve">Der Hinweis muss im Kontext der Datenerhebung zugänglich sein. Zulässig und empfohlen:</w:t>
      </w:r>
    </w:p>
    <w:p>
      <w:pPr>
        <w:pStyle w:val="ListParagraph"/>
        <w:numPr>
          <w:ilvl w:val="0"/>
          <w:numId w:val="2"/>
        </w:numPr>
        <w:spacing w:after="80"/>
      </w:pPr>
      <w:r>
        <w:rPr>
          <w:b/>
          <w:bCs/>
        </w:rPr>
        <w:t xml:space="preserve">Direkt auf dem Anmeldeformular</w:t>
      </w:r>
      <w:r>
        <w:t xml:space="preserve"> (Kurzhinweis, mit Link zur ausführlichen Datenschutzerklärung auf der Website) — die klarste Variante.</w:t>
      </w:r>
    </w:p>
    <w:p>
      <w:pPr>
        <w:pStyle w:val="ListParagraph"/>
        <w:numPr>
          <w:ilvl w:val="0"/>
          <w:numId w:val="2"/>
        </w:numPr>
        <w:spacing w:after="80"/>
      </w:pPr>
      <w:r>
        <w:rPr>
          <w:b/>
          <w:bCs/>
        </w:rPr>
        <w:t xml:space="preserve">In der Begleit-E-Mail</w:t>
      </w:r>
      <w:r>
        <w:t xml:space="preserve"> zum Formular, ebenfalls mit Link.</w:t>
      </w:r>
    </w:p>
    <w:p>
      <w:pPr>
        <w:pStyle w:val="ListParagraph"/>
        <w:numPr>
          <w:ilvl w:val="0"/>
          <w:numId w:val="2"/>
        </w:numPr>
        <w:spacing w:after="80"/>
      </w:pPr>
      <w:r>
        <w:rPr>
          <w:b/>
          <w:bCs/>
        </w:rPr>
        <w:t xml:space="preserve">Auf der Website genau dort, wo das Formular ausgefüllt wird</w:t>
      </w:r>
      <w:r>
        <w:t xml:space="preserve"> — nicht nur im Footer.</w:t>
      </w:r>
    </w:p>
    <w:p>
      <w:pPr>
        <w:spacing w:after="120"/>
      </w:pPr>
      <w:r>
        <w:t xml:space="preserve">Bei Minderjährigen muss zusätzlich die Einwilligung des Elternteils/Vormunds schriftlich dokumentiert sein. Mustertexte siehe Abschnitt 6.</w:t>
      </w:r>
    </w:p>
    <w:p>
      <w:pPr>
        <w:pStyle w:val="Heading2"/>
      </w:pPr>
      <w:r>
        <w:t xml:space="preserve">(b) Nur erheben, was wirklich gebraucht wird (Datenminimierung, Art. 6 Abs. 3 nDSG)</w:t>
      </w:r>
    </w:p>
    <w:p>
      <w:pPr>
        <w:spacing w:after="120"/>
      </w:pPr>
      <w:r>
        <w:rPr>
          <w:b/>
          <w:bCs/>
        </w:rPr>
        <w:t xml:space="preserve">AHV-Nummer: </w:t>
      </w:r>
      <w:r>
        <w:t xml:space="preserve">legitim, wo sie tatsächlich benötigt wird — z.B. für J+S-Anmeldungen, Swiss Tennis-Lizenzen und ähnliche Programme. Erwäge, sie vom Standard-Anmeldeformular wegzulassen und nur gezielt dort abzufragen, wo sie effektiv gebraucht wird. So liegen weniger AHV-Nummern unnötig im System herum.</w:t>
      </w:r>
    </w:p>
    <w:p>
      <w:pPr>
        <w:spacing w:after="120"/>
      </w:pPr>
      <w:r>
        <w:rPr>
          <w:b/>
          <w:bCs/>
        </w:rPr>
        <w:t xml:space="preserve">Geburtsdatum: </w:t>
      </w:r>
      <w:r>
        <w:t xml:space="preserve">ebenfalls legitim für J+S, Lizenzanträge und altersgebundene Wettkämpfe. Für die reine Gruppeneinteilung im Regulärunterricht reicht oft eine Alterskategorie (Kind / Junior / Erwachsen / Senior). Erwäge, das genaue Datum nur dort separat einzuholen, wo es wirklich benötigt wird.</w:t>
      </w:r>
    </w:p>
    <w:p>
      <w:pPr>
        <w:pStyle w:val="Heading2"/>
      </w:pPr>
      <w:r>
        <w:t xml:space="preserve">(c) Einwilligung Minderjähriger</w:t>
      </w:r>
    </w:p>
    <w:p>
      <w:pPr>
        <w:spacing w:after="120"/>
      </w:pPr>
      <w:r>
        <w:t xml:space="preserve">Für alle Teilnehmenden unter 18 Jahren: Unterschrift eines Elternteils oder Vormunds auf dem Formular oder einem separaten Dokument. </w:t>
      </w:r>
    </w:p>
    <w:p>
      <w:pPr>
        <w:pStyle w:val="ListParagraph"/>
        <w:numPr>
          <w:ilvl w:val="0"/>
          <w:numId w:val="2"/>
        </w:numPr>
        <w:spacing w:after="80"/>
      </w:pPr>
      <w:r>
        <w:rPr>
          <w:b/>
          <w:bCs/>
        </w:rPr>
        <w:t xml:space="preserve">Schweiz: </w:t>
      </w:r>
      <w:r>
        <w:t xml:space="preserve">urteilsfähige Minderjährige können teilweise selbst einwilligen; unter 16 Jahren ist die Elternunterschrift dringend empfohlen.</w:t>
      </w:r>
    </w:p>
    <w:p>
      <w:pPr>
        <w:pStyle w:val="ListParagraph"/>
        <w:numPr>
          <w:ilvl w:val="0"/>
          <w:numId w:val="2"/>
        </w:numPr>
        <w:spacing w:after="80"/>
      </w:pPr>
      <w:r>
        <w:rPr>
          <w:b/>
          <w:bCs/>
        </w:rPr>
        <w:t xml:space="preserve">EU: </w:t>
      </w:r>
      <w:r>
        <w:t xml:space="preserve">feste Altersgrenze — Deutschland ab 16, Frankreich ab 15 (Art. 8 DSGVO).</w:t>
      </w:r>
    </w:p>
    <w:p>
      <w:pPr>
        <w:pStyle w:val="Heading2"/>
      </w:pPr>
      <w:r>
        <w:t xml:space="preserve">(d) Sichere Entgegennahme</w:t>
      </w:r>
    </w:p>
    <w:p>
      <w:pPr>
        <w:spacing w:after="120"/>
      </w:pPr>
      <w:r>
        <w:t xml:space="preserve">Standard-E-Mail ist unverschlüsselt — Art. 8 nDSG verlangt angemessene technische Massnahmen. Wenn Formulare weiterhin per E-Mail eingehen, sollten mindestens die sensibleren Felder minimiert werden. Mittelfristig: Umstellung auf ein verschlüsseltes Online-Formular (eigenes Website-Formular über HTTPS, Google Forms, Typeform o.ä.).</w:t>
      </w:r>
    </w:p>
    <w:p>
      <w:pPr>
        <w:spacing w:after="120"/>
      </w:pPr>
      <w:r>
        <w:t xml:space="preserve"/>
      </w:r>
    </w:p>
    <w:p>
      <w:pPr>
        <w:pStyle w:val="Heading1"/>
      </w:pPr>
      <w:r>
        <w:t xml:space="preserve">3. Rückwirkend — was mit bereits erhobenen Daten zu tun ist</w:t>
      </w:r>
    </w:p>
    <w:p>
      <w:pPr>
        <w:spacing w:after="120"/>
      </w:pPr>
      <w:r>
        <w:t xml:space="preserve">Da in der Vergangenheit voraussichtlich AHV-Nummern und/oder Geburtsdaten auf den Anmeldeformularen erhoben wurden, ist einiger Aufräumbedarf da.</w:t>
      </w:r>
    </w:p>
    <w:p>
      <w:pPr>
        <w:pStyle w:val="Heading2"/>
      </w:pPr>
      <w:r>
        <w:t xml:space="preserve">(a) Papierformulare</w:t>
      </w:r>
    </w:p>
    <w:p>
      <w:pPr>
        <w:pStyle w:val="ListParagraph"/>
        <w:numPr>
          <w:ilvl w:val="0"/>
          <w:numId w:val="2"/>
        </w:numPr>
        <w:spacing w:after="80"/>
      </w:pPr>
      <w:r>
        <w:t xml:space="preserve">Alle Formulare in einem </w:t>
      </w:r>
      <w:r>
        <w:rPr>
          <w:b/>
          <w:bCs/>
        </w:rPr>
        <w:t xml:space="preserve">abschliessbaren</w:t>
      </w:r>
      <w:r>
        <w:t xml:space="preserve"> Schrank, Rollcontainer oder Schreibtischauszug ablegen — nicht offen auf dem Pult oder in einem frei zugänglichen Ordner. Schlüssel bei dir (bzw. berechtigten Mitarbeitenden).</w:t>
      </w:r>
    </w:p>
    <w:p>
      <w:pPr>
        <w:pStyle w:val="ListParagraph"/>
        <w:numPr>
          <w:ilvl w:val="0"/>
          <w:numId w:val="2"/>
        </w:numPr>
        <w:spacing w:after="80"/>
      </w:pPr>
      <w:r>
        <w:t xml:space="preserve">Auf bestehenden Formularen, die du behalten willst: AHV-Nummer mit schwarzem Stift unleserlich schwärzen oder die Zeile ausschneiden — sofern sie nicht für J+S oder eine Lizenzanmeldung benötigt wird.</w:t>
      </w:r>
    </w:p>
    <w:p>
      <w:pPr>
        <w:pStyle w:val="ListParagraph"/>
        <w:numPr>
          <w:ilvl w:val="0"/>
          <w:numId w:val="2"/>
        </w:numPr>
        <w:spacing w:after="80"/>
      </w:pPr>
      <w:r>
        <w:t xml:space="preserve">Inaktive Schüler (seit &gt;2 Jahren keine Stunden mehr): Formulare schreddern oder über vertrauliche Aktenentsorgung vernichten, nicht in den normalen Papiermüll.</w:t>
      </w:r>
    </w:p>
    <w:p>
      <w:pPr>
        <w:pStyle w:val="Heading2"/>
      </w:pPr>
      <w:r>
        <w:t xml:space="preserve">(b) E-Mails und Dateien auf dem Computer</w:t>
      </w:r>
    </w:p>
    <w:p>
      <w:pPr>
        <w:spacing w:after="120"/>
      </w:pPr>
      <w:r>
        <w:t xml:space="preserve">Hier geht es nicht um physisches Einschliessen, sondern um digitale Zugriffskontrolle. Konkret:</w:t>
      </w:r>
    </w:p>
    <w:p>
      <w:pPr>
        <w:pStyle w:val="ListParagraph"/>
        <w:numPr>
          <w:ilvl w:val="0"/>
          <w:numId w:val="2"/>
        </w:numPr>
        <w:spacing w:after="80"/>
      </w:pPr>
      <w:r>
        <w:t xml:space="preserve">Nach Übernahme der Formulardaten in dein System: E-Mail </w:t>
      </w:r>
      <w:r>
        <w:rPr>
          <w:b/>
          <w:bCs/>
        </w:rPr>
        <w:t xml:space="preserve">inklusive Anhang</w:t>
      </w:r>
      <w:r>
        <w:t xml:space="preserve"> aus Posteingang </w:t>
      </w:r>
      <w:r>
        <w:rPr>
          <w:b/>
          <w:bCs/>
        </w:rPr>
        <w:t xml:space="preserve">und</w:t>
      </w:r>
      <w:r>
        <w:t xml:space="preserve"> Papierkorb löschen — sonst bleibt sie dort noch wochen- bis monatelang liegen.</w:t>
      </w:r>
    </w:p>
    <w:p>
      <w:pPr>
        <w:pStyle w:val="ListParagraph"/>
        <w:numPr>
          <w:ilvl w:val="0"/>
          <w:numId w:val="2"/>
        </w:numPr>
        <w:spacing w:after="80"/>
      </w:pPr>
      <w:r>
        <w:t xml:space="preserve">E-Mails, die aus Buchhaltungsgründen aufbewahrt werden müssen, in einen separaten, klar benannten E-Mail-Ordner verschieben.</w:t>
      </w:r>
    </w:p>
    <w:p>
      <w:pPr>
        <w:pStyle w:val="ListParagraph"/>
        <w:numPr>
          <w:ilvl w:val="0"/>
          <w:numId w:val="2"/>
        </w:numPr>
        <w:spacing w:after="80"/>
      </w:pPr>
      <w:r>
        <w:t xml:space="preserve">E-Mail-Konto mit starkem Passwort und </w:t>
      </w:r>
      <w:r>
        <w:rPr>
          <w:b/>
          <w:bCs/>
        </w:rPr>
        <w:t xml:space="preserve">Zwei-Faktor-Authentisierung (2FA)</w:t>
      </w:r>
      <w:r>
        <w:t xml:space="preserve"> absichern.</w:t>
      </w:r>
    </w:p>
    <w:p>
      <w:pPr>
        <w:pStyle w:val="ListParagraph"/>
        <w:numPr>
          <w:ilvl w:val="0"/>
          <w:numId w:val="2"/>
        </w:numPr>
        <w:spacing w:after="80"/>
      </w:pPr>
      <w:r>
        <w:t xml:space="preserve">Anhänge, die lokal auf dem Computer gespeichert wurden, in einem zugriffsgeschützten Ordner ablegen. </w:t>
      </w:r>
      <w:r>
        <w:rPr>
          <w:b/>
          <w:bCs/>
        </w:rPr>
        <w:t xml:space="preserve">Festplattenverschlüsselung</w:t>
      </w:r>
      <w:r>
        <w:t xml:space="preserve"> einschalten (FileVault auf Mac, BitLocker auf Windows) — schützt die Daten, falls das Gerät verloren geht oder gestohlen wird.</w:t>
      </w:r>
    </w:p>
    <w:p>
      <w:pPr>
        <w:pStyle w:val="ListParagraph"/>
        <w:numPr>
          <w:ilvl w:val="0"/>
          <w:numId w:val="2"/>
        </w:numPr>
        <w:spacing w:after="80"/>
      </w:pPr>
      <w:r>
        <w:t xml:space="preserve">Formulare, die keiner aktiven Kundenbeziehung und keiner Rechnung mehr dienen: E-Mail und Anhang endgültig löschen.</w:t>
      </w:r>
    </w:p>
    <w:p>
      <w:pPr>
        <w:pStyle w:val="Heading2"/>
      </w:pPr>
      <w:r>
        <w:t xml:space="preserve">(c) Aufbewahrung trennen</w:t>
      </w:r>
    </w:p>
    <w:p>
      <w:pPr>
        <w:spacing w:after="120"/>
      </w:pPr>
      <w:r>
        <w:t xml:space="preserve">Anmeldedaten (nDSG-Löschpflicht ~2 Jahre nach Ende der Kundenbeziehung) und Buchhaltung (10 Jahre, Art. 958f OR) haben unterschiedliche Fristen. Idealerweise Rechnungen und Buchungsbelege getrennt ablegen (eigener Ordner oder Buchhaltungstool), damit beim jährlichen Löschlauf der Anmeldedaten nicht versehentlich Belege mitgelöscht werden.</w:t>
      </w:r>
    </w:p>
    <w:p>
      <w:pPr>
        <w:spacing w:after="120"/>
      </w:pPr>
      <w:r>
        <w:t xml:space="preserve"/>
      </w:r>
    </w:p>
    <w:p>
      <w:pPr>
        <w:pStyle w:val="Heading1"/>
      </w:pPr>
      <w:r>
        <w:t xml:space="preserve">4. KI-Nutzung (z.B. Claude)</w:t>
      </w:r>
    </w:p>
    <w:p>
      <w:pPr>
        <w:spacing w:after="120"/>
      </w:pPr>
      <w:r>
        <w:t xml:space="preserve">Beim Einsatz eines KI-Tools (z.B. Claude von Anthropic) zur Verarbeitung von Formulardaten ist zusätzlich ein Data Processing Addendum (DPA) mit dem Anbieter nötig. Für den Datentransfer in die USA besteht seit September 2024 das Swiss–U.S. Data Privacy Framework als Angemessenheitsgrundlage. Die Anthropic-API speichert Eingaben standardmässig nicht für Trainingszwecke — der DPA sollte vor dem produktiven Einsatz trotzdem gelesen und dokumentiert werden. Sensible Felder, die das Modell für den konkreten Zweck nicht braucht (z.B. AHV-Nummer bei einer reinen Stundenplan-Extraktion), vorher schwärzen.</w:t>
      </w:r>
    </w:p>
    <w:p>
      <w:pPr>
        <w:spacing w:after="120"/>
      </w:pPr>
      <w:r>
        <w:t xml:space="preserve"/>
      </w:r>
    </w:p>
    <w:p>
      <w:pPr>
        <w:pStyle w:val="Heading1"/>
      </w:pPr>
      <w:r>
        <w:t xml:space="preserve">5. Checkliste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0D0D0" w:sz="4"/>
              <w:left w:val="single" w:color="D0D0D0" w:sz="4"/>
              <w:bottom w:val="single" w:color="D0D0D0" w:sz="4"/>
              <w:right w:val="single" w:color="D0D0D0" w:sz="4"/>
            </w:tcBorders>
            <w:shd w:fill="FFE8E8" w:val="clear"/>
            <w:tcMar>
              <w:top w:type="dxa" w:w="100"/>
              <w:left w:type="dxa" w:w="140"/>
              <w:bottom w:type="dxa" w:w="100"/>
              <w:right w:type="dxa" w:w="140"/>
            </w:tcMar>
          </w:tcPr>
          <w:p>
            <w:pPr>
              <w:spacing w:after="80"/>
            </w:pPr>
            <w:r>
              <w:rPr>
                <w:b/>
                <w:bCs/>
              </w:rPr>
              <w:t xml:space="preserve">🔴  Sofort</w:t>
            </w:r>
          </w:p>
          <w:p>
            <w:pPr>
              <w:spacing w:after="60"/>
            </w:pPr>
            <w:r>
              <w:t xml:space="preserve">• Datenschutzhinweis auf das aktive Anmeldeformular (oder in die Begleit-E-Mail) setzen — mit Link zur Datenschutzerklärung auf der Website.</w:t>
            </w:r>
          </w:p>
          <w:p>
            <w:pPr>
              <w:spacing w:after="60"/>
            </w:pPr>
            <w:r>
              <w:t xml:space="preserve">• Elternunterschrift-Feld für alle Teilnehmenden unter 18 Jahren einbauen.</w:t>
            </w:r>
          </w:p>
          <w:p>
            <w:pPr>
              <w:spacing w:after="60"/>
            </w:pPr>
            <w:r>
              <w:t xml:space="preserve">• Papierformulare in einen abschliessbaren Schrank oder Container; Schlüssel bei dir.</w:t>
            </w:r>
          </w:p>
          <w:p>
            <w:pPr>
              <w:spacing w:after="60"/>
            </w:pPr>
            <w:r>
              <w:t xml:space="preserve">• Alte E-Mails mit Formularen in einen geschützten Ordner verschieben; 2FA aufs E-Mail-Konto aktivieren; Festplattenverschlüsselung einschalten.</w:t>
            </w:r>
          </w:p>
        </w:tc>
      </w:tr>
      <w:tr>
        <w:tc>
          <w:tcPr>
            <w:tcW w:type="dxa" w:w="9026"/>
            <w:tcBorders>
              <w:top w:val="single" w:color="D0D0D0" w:sz="4"/>
              <w:left w:val="single" w:color="D0D0D0" w:sz="4"/>
              <w:bottom w:val="single" w:color="D0D0D0" w:sz="4"/>
              <w:right w:val="single" w:color="D0D0D0" w:sz="4"/>
            </w:tcBorders>
            <w:shd w:fill="FFF6E0" w:val="clear"/>
            <w:tcMar>
              <w:top w:type="dxa" w:w="100"/>
              <w:left w:type="dxa" w:w="140"/>
              <w:bottom w:type="dxa" w:w="100"/>
              <w:right w:type="dxa" w:w="140"/>
            </w:tcMar>
          </w:tcPr>
          <w:p>
            <w:pPr>
              <w:spacing w:after="80"/>
            </w:pPr>
            <w:r>
              <w:rPr>
                <w:b/>
                <w:bCs/>
              </w:rPr>
              <w:t xml:space="preserve">🟡  Kurzfristig</w:t>
            </w:r>
          </w:p>
          <w:p>
            <w:pPr>
              <w:spacing w:after="60"/>
            </w:pPr>
            <w:r>
              <w:t xml:space="preserve">• Standardformular überarbeiten: Alterskategorie statt genauem Geburtsdatum auf Standardformularen; AHV-Nummer nur dort separat abfragen, wo sie für J+S oder Lizenzen effektiv benötigt wird.</w:t>
            </w:r>
          </w:p>
          <w:p>
            <w:pPr>
              <w:spacing w:after="60"/>
            </w:pPr>
            <w:r>
              <w:t xml:space="preserve">• Ausführliche Datenschutzerklärung auf der Website aufschalten und vom Formular aus verlinken.</w:t>
            </w:r>
          </w:p>
          <w:p>
            <w:pPr>
              <w:spacing w:after="60"/>
            </w:pPr>
            <w:r>
              <w:t xml:space="preserve">• Aufbewahrung trennen: Anmeldedaten max. 2 Jahre nach Ende der Kundenbeziehung; Rechnungen 10 Jahre (Art. 958f OR).</w:t>
            </w:r>
          </w:p>
          <w:p>
            <w:pPr>
              <w:spacing w:after="60"/>
            </w:pPr>
            <w:r>
              <w:t xml:space="preserve">• Mittelfristig: verschlüsseltes Online-Formular statt E-Mail-Anhang.</w:t>
            </w:r>
          </w:p>
          <w:p>
            <w:pPr>
              <w:spacing w:after="60"/>
            </w:pPr>
            <w:r>
              <w:t xml:space="preserve">• Falls KI-Tool im Einsatz: DPA mit Anthropic abschliessen.</w:t>
            </w:r>
          </w:p>
        </w:tc>
      </w:tr>
      <w:tr>
        <w:tc>
          <w:tcPr>
            <w:tcW w:type="dxa" w:w="9026"/>
            <w:tcBorders>
              <w:top w:val="single" w:color="D0D0D0" w:sz="4"/>
              <w:left w:val="single" w:color="D0D0D0" w:sz="4"/>
              <w:bottom w:val="single" w:color="D0D0D0" w:sz="4"/>
              <w:right w:val="single" w:color="D0D0D0" w:sz="4"/>
            </w:tcBorders>
            <w:shd w:fill="E4F1E0" w:val="clear"/>
            <w:tcMar>
              <w:top w:type="dxa" w:w="100"/>
              <w:left w:type="dxa" w:w="140"/>
              <w:bottom w:type="dxa" w:w="100"/>
              <w:right w:type="dxa" w:w="140"/>
            </w:tcMar>
          </w:tcPr>
          <w:p>
            <w:pPr>
              <w:spacing w:after="80"/>
            </w:pPr>
            <w:r>
              <w:rPr>
                <w:b/>
                <w:bCs/>
              </w:rPr>
              <w:t xml:space="preserve">🟢  Laufend</w:t>
            </w:r>
          </w:p>
          <w:p>
            <w:pPr>
              <w:spacing w:after="60"/>
            </w:pPr>
            <w:r>
              <w:t xml:space="preserve">• Jährlicher Löschlauf: Anmeldedaten inaktiver Schüler (&gt;2 Jahre) vernichten; Buchhaltungsbelege bleiben 10 Jahre.</w:t>
            </w:r>
          </w:p>
          <w:p>
            <w:pPr>
              <w:spacing w:after="60"/>
            </w:pPr>
            <w:r>
              <w:t xml:space="preserve">• Auskunfts- und Löschungsanfragen innert 30 Tagen beantworten (Art. 25 nDSG / Art. 15 DSGVO).</w:t>
            </w:r>
          </w:p>
          <w:p>
            <w:pPr>
              <w:spacing w:after="60"/>
            </w:pPr>
            <w:r>
              <w:t xml:space="preserve">• Bei Datenpanne mit hohem Risiko: Meldung an den EDÖB (Art. 24 nDSG) bzw. zuständige EU-Aufsichtsbehörde (Art. 33 DSGVO).</w:t>
            </w:r>
          </w:p>
          <w:p>
            <w:pPr>
              <w:spacing w:after="60"/>
            </w:pPr>
            <w:r>
              <w:t xml:space="preserve">• Zugriff auf Daten dokumentiert auf berechtigte Personen begrenzen.</w:t>
            </w:r>
          </w:p>
        </w:tc>
      </w:tr>
    </w:tbl>
    <w:p>
      <w:pPr>
        <w:spacing w:after="200"/>
      </w:pPr>
      <w:r>
        <w:t xml:space="preserve"/>
      </w:r>
    </w:p>
    <w:p>
      <w:pPr>
        <w:pStyle w:val="Heading1"/>
      </w:pPr>
      <w:r>
        <w:t xml:space="preserve">6. Mustertexte</w:t>
      </w:r>
    </w:p>
    <w:p>
      <w:pPr>
        <w:pStyle w:val="Heading2"/>
      </w:pPr>
      <w:r>
        <w:t xml:space="preserve">Datenschutzhinweis auf dem Formular (Kurzversion)</w:t>
      </w:r>
    </w:p>
    <w:p>
      <w:pPr>
        <w:spacing w:after="120"/>
      </w:pPr>
      <w:r>
        <w:rPr>
          <w:i/>
          <w:iCs/>
        </w:rPr>
        <w:t xml:space="preserve">„Die auf diesem Formular erhobenen Daten (Name, Adresse, Alterskategorie bzw. Geburtsdatum, Kontaktangaben, ggf. AHV-Nummer für J+S/Lizenz) werden ausschliesslich zur Verwaltung des Tennisunterrichts bei [Name] verwendet (Grundlage: Art. 6 nDSG). Die Daten werden nicht an Dritte weitergegeben, ausser dies ist für einen angegebenen Zweck nötig (z.B. J+S-Meldung ans BASPO). Auskunft, Berichtigung und Löschung jederzeit unter [E-Mail]. Anmeldedaten werden spätestens 2 Jahre nach Ende der Kundenbeziehung gelöscht; Rechnungen 10 Jahre (Art. 958f OR). Vollständige Datenschutzerklärung: [URL].“</w:t>
      </w:r>
    </w:p>
    <w:p>
      <w:pPr>
        <w:pStyle w:val="Heading2"/>
      </w:pPr>
      <w:r>
        <w:t xml:space="preserve">Einwilligung Eltern (für Minderjährige)</w:t>
      </w:r>
    </w:p>
    <w:p>
      <w:pPr>
        <w:spacing w:after="120"/>
      </w:pPr>
      <w:r>
        <w:rPr>
          <w:i/>
          <w:iCs/>
        </w:rPr>
        <w:t xml:space="preserve">„Für Teilnehmende unter 18 Jahren: Mit meiner Unterschrift stimme ich als Erziehungsberechtigte/r der Erhebung und Verarbeitung der oben angegebenen Daten meines Kindes gemäss Datenschutzhinweis zu. Unterschrift Elternteil / Vormund: ______________________“</w:t>
      </w:r>
    </w:p>
    <w:p>
      <w:pPr>
        <w:spacing w:after="200"/>
      </w:pPr>
      <w:r>
        <w:t xml:space="preserve"/>
      </w:r>
    </w:p>
    <w:p>
      <w:pPr>
        <w:spacing w:after="120"/>
      </w:pPr>
      <w:r>
        <w:rPr>
          <w:i/>
          <w:iCs/>
          <w:color w:val="666666"/>
          <w:sz w:val="20"/>
          <w:szCs w:val="20"/>
        </w:rPr>
        <w:t xml:space="preserve">Dieser Leitfaden ist eine praktische Orientierungshilfe und ersetzt keine Rechtsberatung. Bei komplexen Einzelfragen (z.B. grössere Lizenzkontingente, Auslandturniere, KI-Einsatz über Standardfälle hinaus) empfiehlt sich eine kurze Konsultation bei einer auf Datenschutz spezialisierten Kanzlei.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20"/>
      <w:outlineLvl w:val="0"/>
    </w:pPr>
    <w:rPr>
      <w:rFonts w:ascii="Calibri" w:cs="Calibri" w:eastAsia="Calibri" w:hAnsi="Calibri"/>
      <w:b/>
      <w:bCs/>
      <w:color w:val="1F3864"/>
      <w:sz w:val="28"/>
      <w:szCs w:val="28"/>
    </w:rPr>
  </w:style>
  <w:style w:type="paragraph" w:styleId="Heading2">
    <w:name w:val="Heading 2"/>
    <w:basedOn w:val="Normal"/>
    <w:next w:val="Normal"/>
    <w:qFormat/>
    <w:pPr>
      <w:spacing w:after="80" w:before="200"/>
      <w:outlineLvl w:val="1"/>
    </w:pPr>
    <w:rPr>
      <w:rFonts w:ascii="Calibri" w:cs="Calibri" w:eastAsia="Calibri" w:hAnsi="Calibri"/>
      <w:b/>
      <w:bCs/>
      <w:color w:val="2E58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2026-04-20T08:07:49.519Z</dcterms:created>
  <dcterms:modified xsi:type="dcterms:W3CDTF">2026-04-20T08:07:49.520Z</dcterms:modified>
</cp:coreProperties>
</file>

<file path=docProps/custom.xml><?xml version="1.0" encoding="utf-8"?>
<Properties xmlns="http://schemas.openxmlformats.org/officeDocument/2006/custom-properties" xmlns:vt="http://schemas.openxmlformats.org/officeDocument/2006/docPropsVTypes"/>
</file>