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F5C55"/>
        </w:rPr>
        <w:t>Saisonplanung Tennisschule — Masterdokument</w:t>
      </w:r>
    </w:p>
    <w:p>
      <w:pPr>
        <w:spacing w:after="120"/>
      </w:pPr>
      <w:r>
        <w:t>Stand: 19.10.2026 · Zuerst digitalisieren, dann automatisieren — nicht alles auf einmal.</w:t>
      </w:r>
    </w:p>
    <w:p>
      <w:pPr>
        <w:spacing w:after="120"/>
      </w:pPr>
      <w:r>
        <w:rPr>
          <w:b/>
        </w:rPr>
        <w:t>Zwei Vorbehalte:</w:t>
      </w:r>
    </w:p>
    <w:p>
      <w:pPr>
        <w:pStyle w:val="ListBullet"/>
        <w:spacing w:after="60"/>
      </w:pPr>
      <w:r>
        <w:t>Von diesem Planungslauf liegen nicht alle Anmeldungen vor. Ob der Statusplan wirklich hilft und funktioniert, lässt sich deshalb noch nicht verlässlich prüfen. Erst wenn eine Saison vollständig digital erfasst ist, lässt er sich an echten Daten perfektionieren.</w:t>
      </w:r>
    </w:p>
    <w:p>
      <w:pPr>
        <w:pStyle w:val="ListBullet"/>
        <w:spacing w:after="60"/>
      </w:pPr>
      <w:r>
        <w:t>Auf der Abrechnungsseite (Fairgate, Zahlungseingänge) fehlt noch der Einblick. Die Punkte dazu sind Annahmen bis zum gemeinsamen Termin.</w:t>
      </w:r>
    </w:p>
    <w:p>
      <w:pPr>
        <w:pStyle w:val="Heading1"/>
      </w:pPr>
      <w:r>
        <w:rPr>
          <w:color w:val="0F5C55"/>
        </w:rPr>
        <w:t>Inhalt</w:t>
      </w:r>
    </w:p>
    <w:p>
      <w:pPr>
        <w:pStyle w:val="ListNumber"/>
        <w:spacing w:after="60"/>
      </w:pPr>
      <w:r>
        <w:t>Der Prozess</w:t>
      </w:r>
    </w:p>
    <w:p>
      <w:pPr>
        <w:pStyle w:val="ListNumber"/>
        <w:spacing w:after="60"/>
      </w:pPr>
      <w:r>
        <w:t>Was es dafür braucht — Aufgaben pro Phase</w:t>
      </w:r>
    </w:p>
    <w:p>
      <w:pPr>
        <w:pStyle w:val="ListNumber"/>
        <w:spacing w:after="60"/>
      </w:pPr>
      <w:r>
        <w:t>Zu entscheiden</w:t>
      </w:r>
    </w:p>
    <w:p>
      <w:pPr>
        <w:pStyle w:val="ListNumber"/>
        <w:spacing w:after="60"/>
      </w:pPr>
      <w:r>
        <w:t>Abklärungen und Vergleiche</w:t>
      </w:r>
    </w:p>
    <w:p>
      <w:pPr>
        <w:pStyle w:val="ListNumber"/>
        <w:spacing w:after="60"/>
      </w:pPr>
      <w:r>
        <w:t>Inhalte: Online-Formular, Entlastungsvorschläge</w:t>
      </w:r>
    </w:p>
    <w:p>
      <w:pPr>
        <w:pStyle w:val="ListNumber"/>
        <w:spacing w:after="60"/>
      </w:pPr>
      <w:r>
        <w:t>Das Tool heute</w:t>
      </w:r>
    </w:p>
    <w:p>
      <w:pPr>
        <w:pStyle w:val="ListNumber"/>
        <w:spacing w:after="60"/>
      </w:pPr>
      <w:r>
        <w:t>Anhang</w:t>
      </w:r>
    </w:p>
    <w:p>
      <w:pPr>
        <w:pStyle w:val="Heading1"/>
      </w:pPr>
      <w:r>
        <w:rPr>
          <w:color w:val="0F5C55"/>
        </w:rPr>
        <w:t>1. Der Prozess — fünf Phasen</w:t>
      </w:r>
    </w:p>
    <w:p>
      <w:r>
        <w:drawing>
          <wp:inline xmlns:a="http://schemas.openxmlformats.org/drawingml/2006/main" xmlns:pic="http://schemas.openxmlformats.org/drawingml/2006/picture">
            <wp:extent cx="8474710" cy="1271206"/>
            <wp:docPr id="1" name="Picture 1"/>
            <wp:cNvGraphicFramePr>
              <a:graphicFrameLocks noChangeAspect="1"/>
            </wp:cNvGraphicFramePr>
            <a:graphic>
              <a:graphicData uri="http://schemas.openxmlformats.org/drawingml/2006/picture">
                <pic:pic>
                  <pic:nvPicPr>
                    <pic:cNvPr id="0" name="prozess.png"/>
                    <pic:cNvPicPr/>
                  </pic:nvPicPr>
                  <pic:blipFill>
                    <a:blip r:embed="rId9"/>
                    <a:stretch>
                      <a:fillRect/>
                    </a:stretch>
                  </pic:blipFill>
                  <pic:spPr>
                    <a:xfrm>
                      <a:off x="0" y="0"/>
                      <a:ext cx="8474710" cy="1271206"/>
                    </a:xfrm>
                    <a:prstGeom prst="rect"/>
                  </pic:spPr>
                </pic:pic>
              </a:graphicData>
            </a:graphic>
          </wp:inline>
        </w:drawing>
      </w:r>
    </w:p>
    <w:p>
      <w:r>
        <w:br w:type="page"/>
      </w:r>
    </w:p>
    <w:p>
      <w:pPr>
        <w:pStyle w:val="Heading2"/>
      </w:pPr>
      <w:r>
        <w:rPr>
          <w:color w:val="0F5C55"/>
        </w:rPr>
        <w:t>1.1 Anmeldungsphase</w:t>
      </w:r>
    </w:p>
    <w:p>
      <w:pPr>
        <w:pStyle w:val="ListBullet"/>
        <w:spacing w:after="60"/>
      </w:pPr>
      <w:r>
        <w:t>Kunden erhalten per Mail den Link zum Online-Formular; Neukunden finden ihn auf der Website.</w:t>
      </w:r>
    </w:p>
    <w:p>
      <w:pPr>
        <w:pStyle w:val="ListBullet"/>
        <w:spacing w:after="60"/>
      </w:pPr>
      <w:r>
        <w:t>Keine Papieranmeldungen mehr. Ausnahmen (Telefon, WhatsApp) trägt die Schule selbst in eine Erfassungsmaske ein — ob es Ausnahmen gibt, ist zu entscheiden.</w:t>
      </w:r>
    </w:p>
    <w:p>
      <w:pPr>
        <w:pStyle w:val="ListBullet"/>
        <w:spacing w:after="60"/>
      </w:pPr>
      <w:r>
        <w:t>Das Formular verlangt mindestens drei mögliche Stunden; bestehende Kunden geben an, ob sie ihre Zeit behalten möchten.</w:t>
      </w:r>
    </w:p>
    <w:p>
      <w:pPr>
        <w:pStyle w:val="ListBullet"/>
        <w:spacing w:after="60"/>
      </w:pPr>
      <w:r>
        <w:t>Zwei Wochen vor Anmeldeschluss erhält jeder Trainer die Liste seiner Kunden, die noch fehlen, und spricht sie an. Drei Tage vor Schluss geht eine Sammelmail an alle, die noch fehlen.</w:t>
      </w:r>
    </w:p>
    <w:p>
      <w:pPr>
        <w:pStyle w:val="ListBullet"/>
        <w:spacing w:after="60"/>
      </w:pPr>
      <w:r>
        <w:t>Jede Anmeldung löst eine Bestätigungsmail aus. Im Anmeldefenster braucht die Schule keine Einzelmails — sie sieht alles im Tool.</w:t>
      </w:r>
    </w:p>
    <w:p>
      <w:pPr>
        <w:pStyle w:val="ListBullet"/>
        <w:spacing w:after="60"/>
      </w:pPr>
      <w:r>
        <w:t>Ergebnis: eine vollständige, saubere Datenbasis am Anmeldeschluss.</w:t>
      </w:r>
    </w:p>
    <w:p>
      <w:pPr>
        <w:pStyle w:val="Heading2"/>
      </w:pPr>
      <w:r>
        <w:rPr>
          <w:color w:val="0F5C55"/>
        </w:rPr>
        <w:t>1.2 Planungsphase</w:t>
      </w:r>
    </w:p>
    <w:p>
      <w:pPr>
        <w:pStyle w:val="ListBullet"/>
        <w:spacing w:after="60"/>
      </w:pPr>
      <w:r>
        <w:t>Die Anmeldungen werden ins Tool geladen.</w:t>
      </w:r>
    </w:p>
    <w:p>
      <w:pPr>
        <w:pStyle w:val="ListBullet"/>
        <w:spacing w:after="60"/>
      </w:pPr>
      <w:r>
        <w:t xml:space="preserve">Das Tool erzeugt den </w:t>
      </w:r>
      <w:r>
        <w:rPr>
          <w:b/>
        </w:rPr>
        <w:t>Statusplan</w:t>
      </w:r>
      <w:r>
        <w:t>: der alte Lektionsplan, überlagert mit den neuen Anmeldungen und den verfügbaren Plätzen. Blau = kann bleiben, gelb = Platz knapp, orange = muss verschoben werden; pro Person: passt / Zeit passt nicht / keine Anmeldung.</w:t>
      </w:r>
    </w:p>
    <w:p>
      <w:pPr>
        <w:pStyle w:val="ListBullet"/>
        <w:spacing w:after="60"/>
      </w:pPr>
      <w:r>
        <w:t xml:space="preserve">Dazu die </w:t>
      </w:r>
      <w:r>
        <w:rPr>
          <w:b/>
        </w:rPr>
        <w:t>Anmeldeliste</w:t>
      </w:r>
      <w:r>
        <w:t xml:space="preserve"> mit Verfügbarkeits-Raster pro Person, filterbar.</w:t>
      </w:r>
    </w:p>
    <w:p>
      <w:pPr>
        <w:pStyle w:val="ListBullet"/>
        <w:spacing w:after="60"/>
      </w:pPr>
      <w:r>
        <w:t>Die Schule plant — auf dem Ausdruck oder direkt im Tool. Handschriftliche Entscheide werden nachgeführt.</w:t>
      </w:r>
    </w:p>
    <w:p>
      <w:pPr>
        <w:pStyle w:val="ListBullet"/>
        <w:spacing w:after="60"/>
      </w:pPr>
      <w:r>
        <w:rPr>
          <w:b/>
        </w:rPr>
        <w:t>«Wer passt wohin?»</w:t>
      </w:r>
      <w:r>
        <w:t xml:space="preserve"> zeigt für jede offene Person die passenden Lücken und umgekehrt.</w:t>
      </w:r>
    </w:p>
    <w:p>
      <w:pPr>
        <w:pStyle w:val="ListBullet"/>
        <w:spacing w:after="60"/>
      </w:pPr>
      <w:r>
        <w:t>Ergebnis: der Plan steht zu rund 80 %.</w:t>
      </w:r>
    </w:p>
    <w:p>
      <w:pPr>
        <w:pStyle w:val="Heading2"/>
      </w:pPr>
      <w:r>
        <w:rPr>
          <w:color w:val="0F5C55"/>
        </w:rPr>
        <w:t>1.3 Feinplanungsphase</w:t>
      </w:r>
    </w:p>
    <w:p>
      <w:pPr>
        <w:pStyle w:val="ListBullet"/>
        <w:spacing w:after="60"/>
      </w:pPr>
      <w:r>
        <w:t>Vom Anmeldeschluss bis Kurswoche zwei.</w:t>
      </w:r>
    </w:p>
    <w:p>
      <w:pPr>
        <w:pStyle w:val="ListBullet"/>
        <w:spacing w:after="60"/>
      </w:pPr>
      <w:r>
        <w:t>Abklärungen mit Kunden und Anpassungen am Plan, wo möglich gebündelt.</w:t>
      </w:r>
    </w:p>
    <w:p>
      <w:pPr>
        <w:pStyle w:val="ListBullet"/>
        <w:spacing w:after="60"/>
      </w:pPr>
      <w:r>
        <w:t>Platzbuchungen für die Saison beim Center bestätigen.</w:t>
      </w:r>
    </w:p>
    <w:p>
      <w:pPr>
        <w:pStyle w:val="ListBullet"/>
        <w:spacing w:after="60"/>
      </w:pPr>
      <w:r>
        <w:t>Rückmeldungen werden gesammelt — Combox und Auto-Antwort nennen einen festen Antworttag; Trainer nehmen Anliegen auf dem Platz entgegen.</w:t>
      </w:r>
    </w:p>
    <w:p>
      <w:pPr>
        <w:pStyle w:val="ListBullet"/>
        <w:spacing w:after="60"/>
      </w:pPr>
      <w:r>
        <w:t>Einmal pro Woche wird alles in einem Block erledigt: Pendenzenliste aus dem Statusplan, Lücken füllen, Nachricht statt Anruf mit Alternativen aus den Angaben des Kunden.</w:t>
      </w:r>
    </w:p>
    <w:p>
      <w:pPr>
        <w:pStyle w:val="ListBullet"/>
        <w:spacing w:after="60"/>
      </w:pPr>
      <w:r>
        <w:t>Nach Kurswoche zwei ist der Plan definitiv.</w:t>
      </w:r>
    </w:p>
    <w:p>
      <w:pPr>
        <w:pStyle w:val="Heading2"/>
      </w:pPr>
      <w:r>
        <w:rPr>
          <w:color w:val="0F5C55"/>
        </w:rPr>
        <w:t>1.4 Bestätigungsphase</w:t>
      </w:r>
    </w:p>
    <w:p>
      <w:pPr>
        <w:pStyle w:val="ListBullet"/>
        <w:spacing w:after="60"/>
      </w:pPr>
      <w:r>
        <w:t>Die Rechnung aus Fairgate ist die Kursbestätigung — Tag, Zeit, Trainer und Platz stehen darauf. Kein separater Versand.</w:t>
      </w:r>
    </w:p>
    <w:p>
      <w:pPr>
        <w:pStyle w:val="ListBullet"/>
        <w:spacing w:after="60"/>
      </w:pPr>
      <w:r>
        <w:t>Der Termin-Text kommt aus dem Plan: Export aus dem Tool, Update-Import in Fairgate, ein Artikel pro Preis.</w:t>
      </w:r>
    </w:p>
    <w:p>
      <w:pPr>
        <w:pStyle w:val="ListBullet"/>
        <w:spacing w:after="60"/>
      </w:pPr>
      <w:r>
        <w:t>Zahlungseingänge werden automatisch abgeglichen; offene Rechnungen landen im Mahnwesen.</w:t>
      </w:r>
    </w:p>
    <w:p>
      <w:pPr>
        <w:pStyle w:val="Heading2"/>
      </w:pPr>
      <w:r>
        <w:rPr>
          <w:color w:val="0F5C55"/>
        </w:rPr>
        <w:t>1.5 Saisonphase</w:t>
      </w:r>
    </w:p>
    <w:p>
      <w:pPr>
        <w:pStyle w:val="ListBullet"/>
        <w:spacing w:after="60"/>
      </w:pPr>
      <w:r>
        <w:t>Späte Anmeldungen und Änderungen laufen über dasselbe Formular und denselben Statusplan.</w:t>
      </w:r>
    </w:p>
    <w:p>
      <w:pPr>
        <w:pStyle w:val="ListBullet"/>
        <w:spacing w:after="60"/>
      </w:pPr>
      <w:r>
        <w:t>Korrekturen von Gruppen nach den ersten Kurswochen (Niveau, Zusammensetzung) — die Trainer melden, die Schule passt an.</w:t>
      </w:r>
    </w:p>
    <w:p>
      <w:pPr>
        <w:pStyle w:val="ListBullet"/>
        <w:spacing w:after="60"/>
      </w:pPr>
      <w:r>
        <w:t>Ausserhalb des Fensters ist die Mail-Benachrichtigung eingeschaltet.</w:t>
      </w:r>
    </w:p>
    <w:p>
      <w:pPr>
        <w:pStyle w:val="Heading1"/>
      </w:pPr>
      <w:r>
        <w:rPr>
          <w:color w:val="0F5C55"/>
        </w:rPr>
        <w:t>2. Was es dafür braucht — Aufgaben pro Phase</w:t>
      </w:r>
    </w:p>
    <w:p>
      <w:pPr>
        <w:pStyle w:val="Heading2"/>
      </w:pPr>
      <w:r>
        <w:rPr>
          <w:color w:val="0F5C55"/>
        </w:rPr>
        <w:t>Anmeldungsphase — Vorbereitung</w:t>
      </w:r>
    </w:p>
    <w:p>
      <w:pPr>
        <w:pStyle w:val="ListBullet"/>
        <w:spacing w:after="60"/>
      </w:pPr>
      <w:r>
        <w:t xml:space="preserve">Spielstärke-Skala definieren: was heisst 1 bis 5. — </w:t>
      </w:r>
      <w:r>
        <w:rPr>
          <w:i/>
        </w:rPr>
        <w:t>Schule</w:t>
      </w:r>
    </w:p>
    <w:p>
      <w:pPr>
        <w:pStyle w:val="ListBullet"/>
        <w:spacing w:after="60"/>
      </w:pPr>
      <w:r>
        <w:t xml:space="preserve">Inhalt des Online-Formulars absegnen — ein Entwurf steht bereits. — </w:t>
      </w:r>
      <w:r>
        <w:rPr>
          <w:i/>
        </w:rPr>
        <w:t>Schule</w:t>
      </w:r>
    </w:p>
    <w:p>
      <w:pPr>
        <w:pStyle w:val="ListBullet"/>
        <w:spacing w:after="60"/>
      </w:pPr>
      <w:r>
        <w:t xml:space="preserve">Werkzeug für das Formular wählen: zuerst Fairgate prüfen (Testliste in 4.1), sonst Tally, Formsly, Fluent Forms oder eigene Seite. — </w:t>
      </w:r>
      <w:r>
        <w:rPr>
          <w:i/>
        </w:rPr>
        <w:t>Schule mit Datenperson</w:t>
      </w:r>
    </w:p>
    <w:p>
      <w:pPr>
        <w:pStyle w:val="ListBullet"/>
        <w:spacing w:after="60"/>
      </w:pPr>
      <w:r>
        <w:t xml:space="preserve">Formular in die Website einbauen; klären, ob die Website auf wordpress.com oder bei einem Hoster läuft. — </w:t>
      </w:r>
      <w:r>
        <w:rPr>
          <w:i/>
        </w:rPr>
        <w:t>Website-Person</w:t>
      </w:r>
    </w:p>
    <w:p>
      <w:pPr>
        <w:pStyle w:val="ListBullet"/>
        <w:spacing w:after="60"/>
      </w:pPr>
      <w:r>
        <w:t xml:space="preserve">Datenschutzerklärung: Link und Kontaktadresse einsetzen — der Einwilligungstext steht bereits. — </w:t>
      </w:r>
      <w:r>
        <w:rPr>
          <w:i/>
        </w:rPr>
        <w:t>Schule</w:t>
      </w:r>
    </w:p>
    <w:p>
      <w:pPr>
        <w:pStyle w:val="ListBullet"/>
        <w:spacing w:after="60"/>
      </w:pPr>
      <w:r>
        <w:t xml:space="preserve">Kundenliste bzw. finaler Winterplan 26/27 und finaler Sommerplan 2026 liefern — Grundlage für die Trainer-Listen. — </w:t>
      </w:r>
      <w:r>
        <w:rPr>
          <w:i/>
        </w:rPr>
        <w:t>Schule</w:t>
      </w:r>
    </w:p>
    <w:p>
      <w:pPr>
        <w:pStyle w:val="ListBullet"/>
        <w:spacing w:after="60"/>
      </w:pPr>
      <w:r>
        <w:t>Trainer-Listen:</w:t>
      </w:r>
    </w:p>
    <w:p>
      <w:pPr>
        <w:pStyle w:val="ListBullet2"/>
        <w:spacing w:after="60"/>
      </w:pPr>
      <w:r>
        <w:t xml:space="preserve">Zum Einstufen: jeder Trainer trägt für seine Spieler die Spielstärke ein — kann starten, sobald die Skala steht. — </w:t>
      </w:r>
      <w:r>
        <w:rPr>
          <w:i/>
        </w:rPr>
        <w:t>Trainer</w:t>
      </w:r>
    </w:p>
    <w:p>
      <w:pPr>
        <w:pStyle w:val="ListBullet2"/>
        <w:spacing w:after="60"/>
      </w:pPr>
      <w:r>
        <w:t xml:space="preserve">Während der Anmeldefrist: wer von den eigenen Spielern fehlt noch. — </w:t>
      </w:r>
      <w:r>
        <w:rPr>
          <w:i/>
        </w:rPr>
        <w:t>Tool</w:t>
      </w:r>
    </w:p>
    <w:p>
      <w:pPr>
        <w:pStyle w:val="ListBullet"/>
        <w:spacing w:after="60"/>
      </w:pPr>
      <w:r>
        <w:t xml:space="preserve">Erfassungsmaske für Ausnahmen (Telefon, WhatsApp). — </w:t>
      </w:r>
      <w:r>
        <w:rPr>
          <w:i/>
        </w:rPr>
        <w:t>Tool</w:t>
      </w:r>
    </w:p>
    <w:p>
      <w:pPr>
        <w:pStyle w:val="ListBullet"/>
        <w:spacing w:after="60"/>
      </w:pPr>
      <w:r>
        <w:t xml:space="preserve">Testlauf: Formular ausfüllen, Antworten ins Tool laden, Bestätigungsmail prüfen. — </w:t>
      </w:r>
      <w:r>
        <w:rPr>
          <w:i/>
        </w:rPr>
        <w:t>gemeinsam</w:t>
      </w:r>
    </w:p>
    <w:p>
      <w:pPr>
        <w:pStyle w:val="Heading2"/>
      </w:pPr>
      <w:r>
        <w:rPr>
          <w:color w:val="0F5C55"/>
        </w:rPr>
        <w:t>Planungsphase</w:t>
      </w:r>
    </w:p>
    <w:p>
      <w:pPr>
        <w:pStyle w:val="ListBullet"/>
        <w:spacing w:after="60"/>
      </w:pPr>
      <w:r>
        <w:t>Das Planungstool — ein Entwurf steht bereits:</w:t>
      </w:r>
    </w:p>
    <w:p>
      <w:pPr>
        <w:pStyle w:val="ListBullet2"/>
        <w:spacing w:after="60"/>
      </w:pPr>
      <w:r>
        <w:t>Statusplan: alter Plan, überlagert mit neuen Anmeldungen und verfügbaren Plätzen → Farben; Verschieben per Drag &amp; Drop; Druck pro Tag.</w:t>
      </w:r>
    </w:p>
    <w:p>
      <w:pPr>
        <w:pStyle w:val="ListBullet2"/>
        <w:spacing w:after="60"/>
      </w:pPr>
      <w:r>
        <w:t>«Wer passt wohin?»: Lektionen mit freien Plätzen neben Personen ohne Platz, Passung mit Gründen, «Hier einplanen».</w:t>
      </w:r>
    </w:p>
    <w:p>
      <w:pPr>
        <w:pStyle w:val="ListBullet2"/>
        <w:spacing w:after="60"/>
      </w:pPr>
      <w:r>
        <w:t>Anmeldeliste mit Verfügbarkeits-Raster zum Drucken, alte Lektionszeit markiert.</w:t>
      </w:r>
    </w:p>
    <w:p>
      <w:pPr>
        <w:pStyle w:val="ListBullet2"/>
        <w:spacing w:after="60"/>
      </w:pPr>
      <w:r>
        <w:t xml:space="preserve">Noch zu bauen: Import der Formular-Antworten (Regel: «bisherige Zeit behalten: ja» zählt als verfügbar zur alten Zeit; ohne Zeiten wird markiert, nicht als «passt nicht» gewertet), Filter nach Wochentag, Reihenfolge des alten Plans. — </w:t>
      </w:r>
      <w:r>
        <w:rPr>
          <w:i/>
        </w:rPr>
        <w:t>Tool</w:t>
      </w:r>
    </w:p>
    <w:p>
      <w:pPr>
        <w:pStyle w:val="ListBullet"/>
        <w:spacing w:after="60"/>
      </w:pPr>
      <w:r>
        <w:t xml:space="preserve">Plätze Sommer 2027: 3 als Normalfall — wann 4, wann 5. — </w:t>
      </w:r>
      <w:r>
        <w:rPr>
          <w:i/>
        </w:rPr>
        <w:t>Schule</w:t>
      </w:r>
    </w:p>
    <w:p>
      <w:pPr>
        <w:pStyle w:val="ListBullet"/>
        <w:spacing w:after="60"/>
      </w:pPr>
      <w:r>
        <w:t xml:space="preserve">Gespräch mit dem neuen Betreiber des Vitis: Buchungssoftware mit Schnittstelle? Umbau mit eingeschränktem Betrieb? — </w:t>
      </w:r>
      <w:r>
        <w:rPr>
          <w:i/>
        </w:rPr>
        <w:t>Schule</w:t>
      </w:r>
    </w:p>
    <w:p>
      <w:pPr>
        <w:pStyle w:val="ListBullet"/>
        <w:spacing w:after="60"/>
      </w:pPr>
      <w:r>
        <w:t xml:space="preserve">Tool unter fester Adresse, mit Testdaten. — </w:t>
      </w:r>
      <w:r>
        <w:rPr>
          <w:i/>
        </w:rPr>
        <w:t>Claudia</w:t>
      </w:r>
    </w:p>
    <w:p>
      <w:pPr>
        <w:pStyle w:val="Heading2"/>
      </w:pPr>
      <w:r>
        <w:rPr>
          <w:color w:val="0F5C55"/>
        </w:rPr>
        <w:t>Feinplanungsphase</w:t>
      </w:r>
    </w:p>
    <w:p>
      <w:pPr>
        <w:pStyle w:val="ListBullet"/>
        <w:spacing w:after="60"/>
      </w:pPr>
      <w:r>
        <w:t xml:space="preserve">Fester Antworttag; Texte für Combox und Auto-Antwort — Vorschläge in 5.2. — </w:t>
      </w:r>
      <w:r>
        <w:rPr>
          <w:i/>
        </w:rPr>
        <w:t>Schule</w:t>
      </w:r>
    </w:p>
    <w:p>
      <w:pPr>
        <w:pStyle w:val="ListBullet"/>
        <w:spacing w:after="60"/>
      </w:pPr>
      <w:r>
        <w:t xml:space="preserve">Pendenzenliste und Nachrichtenvorlage im Tool. — </w:t>
      </w:r>
      <w:r>
        <w:rPr>
          <w:i/>
        </w:rPr>
        <w:t>Tool</w:t>
      </w:r>
    </w:p>
    <w:p>
      <w:pPr>
        <w:pStyle w:val="ListBullet"/>
        <w:spacing w:after="60"/>
      </w:pPr>
      <w:r>
        <w:t xml:space="preserve">Eine Person im Team mit klarem Zuschnitt. — </w:t>
      </w:r>
      <w:r>
        <w:rPr>
          <w:i/>
        </w:rPr>
        <w:t>Schule</w:t>
      </w:r>
    </w:p>
    <w:p>
      <w:pPr>
        <w:pStyle w:val="Heading2"/>
      </w:pPr>
      <w:r>
        <w:rPr>
          <w:color w:val="0F5C55"/>
        </w:rPr>
        <w:t>Bestätigungsphase</w:t>
      </w:r>
    </w:p>
    <w:p>
      <w:pPr>
        <w:pStyle w:val="ListBullet"/>
        <w:spacing w:after="60"/>
      </w:pPr>
      <w:r>
        <w:t xml:space="preserve">Gemeinsamer Termin für Fairgate: Rechnungsablauf, Zahlungsabgleich, Mahnwesen anschauen. — </w:t>
      </w:r>
      <w:r>
        <w:rPr>
          <w:i/>
        </w:rPr>
        <w:t>Schule und Claudia</w:t>
      </w:r>
    </w:p>
    <w:p>
      <w:pPr>
        <w:pStyle w:val="ListBullet"/>
        <w:spacing w:after="60"/>
      </w:pPr>
      <w:r>
        <w:t xml:space="preserve">Artikelliste mit Preisen. — </w:t>
      </w:r>
      <w:r>
        <w:rPr>
          <w:i/>
        </w:rPr>
        <w:t>Schule</w:t>
      </w:r>
    </w:p>
    <w:p>
      <w:pPr>
        <w:pStyle w:val="ListBullet"/>
        <w:spacing w:after="60"/>
      </w:pPr>
      <w:r>
        <w:t xml:space="preserve">Probelauf mit fünf Personen («Kontaktfeld verwenden»), danach der Export aus dem Tool. — </w:t>
      </w:r>
      <w:r>
        <w:rPr>
          <w:i/>
        </w:rPr>
        <w:t>gemeinsam, dann Tool</w:t>
      </w:r>
    </w:p>
    <w:p>
      <w:pPr>
        <w:pStyle w:val="ListBullet"/>
        <w:spacing w:after="60"/>
      </w:pPr>
      <w:r>
        <w:t xml:space="preserve">Fragen an PostFinance: camt.054, QR-IBAN. — </w:t>
      </w:r>
      <w:r>
        <w:rPr>
          <w:i/>
        </w:rPr>
        <w:t>Schule</w:t>
      </w:r>
    </w:p>
    <w:p>
      <w:pPr>
        <w:pStyle w:val="Heading1"/>
      </w:pPr>
      <w:r>
        <w:rPr>
          <w:color w:val="0F5C55"/>
        </w:rPr>
        <w:t>3. Zu entscheiden</w:t>
      </w:r>
    </w:p>
    <w:p>
      <w:pPr>
        <w:pStyle w:val="Heading2"/>
      </w:pPr>
      <w:r>
        <w:rPr>
          <w:color w:val="0F5C55"/>
        </w:rPr>
        <w:t>Umsetzung</w:t>
      </w:r>
    </w:p>
    <w:p>
      <w:pPr>
        <w:pStyle w:val="ListNumber"/>
        <w:spacing w:after="60"/>
      </w:pPr>
      <w:r>
        <w:t>Formular-Werkzeug: Fairgate, Tally, Formsly, Fluent Forms oder eigene Seite?</w:t>
      </w:r>
    </w:p>
    <w:p>
      <w:pPr>
        <w:pStyle w:val="ListNumber"/>
        <w:spacing w:after="60"/>
      </w:pPr>
      <w:r>
        <w:t>Wer macht die Abklärungen (Fairgate-Test, Website)?</w:t>
      </w:r>
    </w:p>
    <w:p>
      <w:pPr>
        <w:pStyle w:val="ListNumber"/>
        <w:spacing w:after="60"/>
      </w:pPr>
      <w:r>
        <w:t>Ausnahmen neben dem Online-Formular: Telefon und WhatsApp noch zugelassen? Papier?</w:t>
      </w:r>
    </w:p>
    <w:p>
      <w:pPr>
        <w:pStyle w:val="ListNumber"/>
        <w:spacing w:after="60"/>
      </w:pPr>
      <w:r>
        <w:t>Ausserhalb des Anmeldefensters: Formular offen lassen mit Mail, schliessen mit Hinweis, oder Kurzformular?</w:t>
      </w:r>
    </w:p>
    <w:p>
      <w:pPr>
        <w:pStyle w:val="ListNumber"/>
        <w:spacing w:after="60"/>
      </w:pPr>
      <w:r>
        <w:t>Adressen: im ersten Jahr von allen erfassen oder nur von Neukunden?</w:t>
      </w:r>
    </w:p>
    <w:p>
      <w:pPr>
        <w:pStyle w:val="ListNumber"/>
        <w:spacing w:after="60"/>
      </w:pPr>
      <w:r>
        <w:t>Plant die Schule auf dem Ausdruck und führt zurück, oder direkt im Tool?</w:t>
      </w:r>
    </w:p>
    <w:p>
      <w:pPr>
        <w:pStyle w:val="ListNumber"/>
        <w:spacing w:after="60"/>
      </w:pPr>
      <w:r>
        <w:t>Andere Recherchen (4.2): kein Wechsel zu Smart Serve oder MyTennis.School — einverstanden?</w:t>
      </w:r>
    </w:p>
    <w:p>
      <w:pPr>
        <w:pStyle w:val="ListNumber"/>
        <w:spacing w:after="60"/>
      </w:pPr>
      <w:r>
        <w:t>Eine Person im Team mit Zuschnitt — wer?</w:t>
      </w:r>
    </w:p>
    <w:p>
      <w:pPr>
        <w:pStyle w:val="Heading2"/>
      </w:pPr>
      <w:r>
        <w:rPr>
          <w:color w:val="0F5C55"/>
        </w:rPr>
        <w:t>Inhalt des Formulars</w:t>
      </w:r>
    </w:p>
    <w:p>
      <w:pPr>
        <w:pStyle w:val="ListNumber"/>
        <w:spacing w:after="60"/>
      </w:pPr>
      <w:r>
        <w:t>Spielstärke-Skala: was bedeuten 1 bis 5?</w:t>
      </w:r>
    </w:p>
    <w:p>
      <w:pPr>
        <w:pStyle w:val="ListNumber"/>
        <w:spacing w:after="60"/>
      </w:pPr>
      <w:r>
        <w:t>Altersstufen: Kind bis 10, Junior/in 11–17, Erwachsene ab 18 — stimmt das für Kurs und Preis? Braucht es bei den Erwachsenen eine weitere Stufe?</w:t>
      </w:r>
    </w:p>
    <w:p>
      <w:pPr>
        <w:pStyle w:val="ListNumber"/>
        <w:spacing w:after="60"/>
      </w:pPr>
      <w:r>
        <w:t>Mindestens drei Stunden: Pflicht oder Empfehlung?</w:t>
      </w:r>
    </w:p>
    <w:p>
      <w:pPr>
        <w:pStyle w:val="ListNumber"/>
        <w:spacing w:after="60"/>
      </w:pPr>
      <w:r>
        <w:t>Kursbestätigung bis Ende welchen Monats?</w:t>
      </w:r>
    </w:p>
    <w:p>
      <w:pPr>
        <w:pStyle w:val="ListNumber"/>
        <w:spacing w:after="60"/>
      </w:pPr>
      <w:r>
        <w:t>AHV-Nummer (nur Kinder und Junioren): online erheben oder per Mail nachfragen?</w:t>
      </w:r>
    </w:p>
    <w:p>
      <w:pPr>
        <w:pStyle w:val="ListNumber"/>
        <w:spacing w:after="60"/>
      </w:pPr>
      <w:r>
        <w:t>Bestätigungsmail: Inhalt in Ordnung? Von der Schule oder vom Anbieter?</w:t>
      </w:r>
    </w:p>
    <w:p>
      <w:pPr>
        <w:pStyle w:val="ListNumber"/>
        <w:spacing w:after="60"/>
      </w:pPr>
      <w:r>
        <w:t>Datenschutz: Einwilligungstext absegnen; wie geht die Schule heute mit den Daten um? Grundlagen: Kompaktleitfaden und Textbausteine (Anhang).</w:t>
      </w:r>
    </w:p>
    <w:p>
      <w:pPr>
        <w:pStyle w:val="ListNumber"/>
        <w:spacing w:after="60"/>
      </w:pPr>
      <w:r>
        <w:t>«10er-Abo» bei der Privatlektion: weglassen oder wieder aufnehmen?</w:t>
      </w:r>
    </w:p>
    <w:p>
      <w:pPr>
        <w:pStyle w:val="ListNumber"/>
        <w:spacing w:after="60"/>
      </w:pPr>
      <w:r>
        <w:t>Weggefallene Felder (Ladies Morning, Seniorentraining, Mannschaftstraining, Kondition): einverstanden?</w:t>
      </w:r>
    </w:p>
    <w:p>
      <w:pPr>
        <w:pStyle w:val="ListNumber"/>
        <w:spacing w:after="60"/>
      </w:pPr>
      <w:r>
        <w:t>Wettkampftraining: Stunden pro Woche oder Lektionsdauer?</w:t>
      </w:r>
    </w:p>
    <w:p>
      <w:pPr>
        <w:pStyle w:val="ListNumber"/>
        <w:spacing w:after="60"/>
      </w:pPr>
      <w:r>
        <w:t>Belag wird nicht abgefragt: einverstanden?</w:t>
      </w:r>
    </w:p>
    <w:p>
      <w:pPr>
        <w:pStyle w:val="Heading2"/>
      </w:pPr>
      <w:r>
        <w:rPr>
          <w:color w:val="0F5C55"/>
        </w:rPr>
        <w:t>Abrechnung</w:t>
      </w:r>
    </w:p>
    <w:p>
      <w:pPr>
        <w:pStyle w:val="ListNumber"/>
        <w:spacing w:after="60"/>
      </w:pPr>
      <w:r>
        <w:t>Artikelliste mit Preisen.</w:t>
      </w:r>
    </w:p>
    <w:p>
      <w:pPr>
        <w:pStyle w:val="ListNumber"/>
        <w:spacing w:after="60"/>
      </w:pPr>
      <w:r>
        <w:t>Fragen an Fairgate-Support und PostFinance (4.3).</w:t>
      </w:r>
    </w:p>
    <w:p>
      <w:pPr>
        <w:pStyle w:val="Heading2"/>
      </w:pPr>
      <w:r>
        <w:rPr>
          <w:color w:val="0F5C55"/>
        </w:rPr>
        <w:t>Feinplanungsphase</w:t>
      </w:r>
    </w:p>
    <w:p>
      <w:pPr>
        <w:pStyle w:val="ListNumber"/>
        <w:spacing w:after="60"/>
      </w:pPr>
      <w:r>
        <w:t>Fester Antworttag — welcher? Combox-Text, Rechnungsmail-Text in Ordnung?</w:t>
      </w:r>
    </w:p>
    <w:p>
      <w:pPr>
        <w:pStyle w:val="ListNumber"/>
        <w:spacing w:after="60"/>
      </w:pPr>
      <w:r>
        <w:t>Trainer nehmen Rückmeldungen auf dem Platz entgegen und tragen sie ein — einverstanden?</w:t>
      </w:r>
    </w:p>
    <w:p>
      <w:pPr>
        <w:pStyle w:val="Heading1"/>
      </w:pPr>
      <w:r>
        <w:rPr>
          <w:color w:val="0F5C55"/>
        </w:rPr>
        <w:t>4. Abklärungen und Vergleiche</w:t>
      </w:r>
    </w:p>
    <w:p>
      <w:pPr>
        <w:pStyle w:val="Heading2"/>
      </w:pPr>
      <w:r>
        <w:rPr>
          <w:color w:val="0F5C55"/>
        </w:rPr>
        <w:t>4.1 Formular-Werkzeuge</w:t>
      </w:r>
    </w:p>
    <w:p>
      <w:pPr>
        <w:spacing w:after="120"/>
      </w:pPr>
      <w:r>
        <w:t>Rahmen: Anbieter-Lösung bevorzugt; Eigenbau bleibt Option. Datenhaltung Schweiz oder EU. Damit Baukästen reichen: eine Anmeldung pro Kursteilnehmer/in, bis zu drei Lektionen als feste Blöcke.</w:t>
      </w:r>
    </w:p>
    <w:tbl>
      <w:tblPr>
        <w:tblStyle w:val="LightGrid-Accent1"/>
        <w:tblW w:type="auto" w:w="0"/>
        <w:tblLook w:firstColumn="1" w:firstRow="1" w:lastColumn="0" w:lastRow="0" w:noHBand="0" w:noVBand="1" w:val="04A0"/>
      </w:tblPr>
      <w:tblGrid>
        <w:gridCol w:w="2224"/>
        <w:gridCol w:w="2224"/>
        <w:gridCol w:w="2224"/>
        <w:gridCol w:w="2224"/>
        <w:gridCol w:w="2224"/>
        <w:gridCol w:w="2224"/>
      </w:tblGrid>
      <w:tr>
        <w:tc>
          <w:tcPr>
            <w:tcW w:type="dxa" w:w="2224"/>
          </w:tcPr>
          <w:p>
            <w:r>
              <w:rPr>
                <w:b/>
              </w:rPr>
            </w:r>
          </w:p>
        </w:tc>
        <w:tc>
          <w:tcPr>
            <w:tcW w:type="dxa" w:w="2224"/>
          </w:tcPr>
          <w:p>
            <w:r>
              <w:rPr>
                <w:b/>
              </w:rPr>
            </w:r>
            <w:r>
              <w:rPr>
                <w:b/>
              </w:rPr>
              <w:t>Fairgate Kurse &amp; Events</w:t>
            </w:r>
          </w:p>
        </w:tc>
        <w:tc>
          <w:tcPr>
            <w:tcW w:type="dxa" w:w="2224"/>
          </w:tcPr>
          <w:p>
            <w:r>
              <w:rPr>
                <w:b/>
              </w:rPr>
            </w:r>
            <w:r>
              <w:rPr>
                <w:b/>
              </w:rPr>
              <w:t>Formsly</w:t>
            </w:r>
          </w:p>
        </w:tc>
        <w:tc>
          <w:tcPr>
            <w:tcW w:type="dxa" w:w="2224"/>
          </w:tcPr>
          <w:p>
            <w:r>
              <w:rPr>
                <w:b/>
              </w:rPr>
            </w:r>
            <w:r>
              <w:rPr>
                <w:b/>
              </w:rPr>
              <w:t>Tally</w:t>
            </w:r>
          </w:p>
        </w:tc>
        <w:tc>
          <w:tcPr>
            <w:tcW w:type="dxa" w:w="2224"/>
          </w:tcPr>
          <w:p>
            <w:r>
              <w:rPr>
                <w:b/>
              </w:rPr>
            </w:r>
            <w:r>
              <w:rPr>
                <w:b/>
              </w:rPr>
              <w:t>Fluent Forms (WordPress)</w:t>
            </w:r>
          </w:p>
        </w:tc>
        <w:tc>
          <w:tcPr>
            <w:tcW w:type="dxa" w:w="2224"/>
          </w:tcPr>
          <w:p>
            <w:r>
              <w:rPr>
                <w:b/>
              </w:rPr>
            </w:r>
            <w:r>
              <w:rPr>
                <w:b/>
              </w:rPr>
              <w:t>Eigene Seite</w:t>
            </w:r>
          </w:p>
        </w:tc>
      </w:tr>
      <w:tr>
        <w:tc>
          <w:tcPr>
            <w:tcW w:type="dxa" w:w="2224"/>
          </w:tcPr>
          <w:p>
            <w:r/>
            <w:r>
              <w:rPr>
                <w:b/>
              </w:rPr>
              <w:t>Herkunft, Daten</w:t>
            </w:r>
          </w:p>
        </w:tc>
        <w:tc>
          <w:tcPr>
            <w:tcW w:type="dxa" w:w="2224"/>
          </w:tcPr>
          <w:p>
            <w:r/>
            <w:r>
              <w:t>Schweiz — bestehendes System der Schule</w:t>
            </w:r>
          </w:p>
        </w:tc>
        <w:tc>
          <w:tcPr>
            <w:tcW w:type="dxa" w:w="2224"/>
          </w:tcPr>
          <w:p>
            <w:r/>
            <w:r>
              <w:t>Schweiz, Server Zürich</w:t>
            </w:r>
          </w:p>
        </w:tc>
        <w:tc>
          <w:tcPr>
            <w:tcW w:type="dxa" w:w="2224"/>
          </w:tcPr>
          <w:p>
            <w:r/>
            <w:r>
              <w:t>Belgien, Server EU</w:t>
            </w:r>
          </w:p>
        </w:tc>
        <w:tc>
          <w:tcPr>
            <w:tcW w:type="dxa" w:w="2224"/>
          </w:tcPr>
          <w:p>
            <w:r/>
            <w:r>
              <w:t>Beim Hoster der Website</w:t>
            </w:r>
          </w:p>
        </w:tc>
        <w:tc>
          <w:tcPr>
            <w:tcW w:type="dxa" w:w="2224"/>
          </w:tcPr>
          <w:p>
            <w:r/>
            <w:r>
              <w:t>Cloudflare, Standort EU wählbar</w:t>
            </w:r>
          </w:p>
        </w:tc>
      </w:tr>
      <w:tr>
        <w:tc>
          <w:tcPr>
            <w:tcW w:type="dxa" w:w="2224"/>
          </w:tcPr>
          <w:p>
            <w:r/>
            <w:r>
              <w:rPr>
                <w:b/>
              </w:rPr>
              <w:t>Kosten</w:t>
            </w:r>
          </w:p>
        </w:tc>
        <w:tc>
          <w:tcPr>
            <w:tcW w:type="dxa" w:w="2224"/>
          </w:tcPr>
          <w:p>
            <w:r/>
            <w:r>
              <w:t>Bereits bezahlt</w:t>
            </w:r>
          </w:p>
        </w:tc>
        <w:tc>
          <w:tcPr>
            <w:tcW w:type="dxa" w:w="2224"/>
          </w:tcPr>
          <w:p>
            <w:r/>
            <w:r>
              <w:t>ca. CHF 33/Monat oder 396/Jahr</w:t>
            </w:r>
          </w:p>
        </w:tc>
        <w:tc>
          <w:tcPr>
            <w:tcW w:type="dxa" w:w="2224"/>
          </w:tcPr>
          <w:p>
            <w:r/>
            <w:r>
              <w:t>Gratis</w:t>
            </w:r>
          </w:p>
        </w:tc>
        <w:tc>
          <w:tcPr>
            <w:tcW w:type="dxa" w:w="2224"/>
          </w:tcPr>
          <w:p>
            <w:r/>
            <w:r>
              <w:t>Gratis; Pro ca. 60–90 $/Jahr</w:t>
            </w:r>
          </w:p>
        </w:tc>
        <w:tc>
          <w:tcPr>
            <w:tcW w:type="dxa" w:w="2224"/>
          </w:tcPr>
          <w:p>
            <w:r/>
            <w:r>
              <w:t>Gratis-Kontingente</w:t>
            </w:r>
          </w:p>
        </w:tc>
      </w:tr>
      <w:tr>
        <w:tc>
          <w:tcPr>
            <w:tcW w:type="dxa" w:w="2224"/>
          </w:tcPr>
          <w:p>
            <w:r/>
            <w:r>
              <w:rPr>
                <w:b/>
              </w:rPr>
              <w:t>Bedingte Felder</w:t>
            </w:r>
          </w:p>
        </w:tc>
        <w:tc>
          <w:tcPr>
            <w:tcW w:type="dxa" w:w="2224"/>
          </w:tcPr>
          <w:p>
            <w:r/>
            <w:r>
              <w:t>Unbekannt, vermutlich nein</w:t>
            </w:r>
          </w:p>
        </w:tc>
        <w:tc>
          <w:tcPr>
            <w:tcW w:type="dxa" w:w="2224"/>
          </w:tcPr>
          <w:p>
            <w:r/>
            <w:r>
              <w:t>Ja</w:t>
            </w:r>
          </w:p>
        </w:tc>
        <w:tc>
          <w:tcPr>
            <w:tcW w:type="dxa" w:w="2224"/>
          </w:tcPr>
          <w:p>
            <w:r/>
            <w:r>
              <w:t>Ja</w:t>
            </w:r>
          </w:p>
        </w:tc>
        <w:tc>
          <w:tcPr>
            <w:tcW w:type="dxa" w:w="2224"/>
          </w:tcPr>
          <w:p>
            <w:r/>
            <w:r>
              <w:t>Ja</w:t>
            </w:r>
          </w:p>
        </w:tc>
        <w:tc>
          <w:tcPr>
            <w:tcW w:type="dxa" w:w="2224"/>
          </w:tcPr>
          <w:p>
            <w:r/>
            <w:r>
              <w:t>Ja</w:t>
            </w:r>
          </w:p>
        </w:tc>
      </w:tr>
      <w:tr>
        <w:tc>
          <w:tcPr>
            <w:tcW w:type="dxa" w:w="2224"/>
          </w:tcPr>
          <w:p>
            <w:r/>
            <w:r>
              <w:rPr>
                <w:b/>
              </w:rPr>
              <w:t>Klick-Raster</w:t>
            </w:r>
          </w:p>
        </w:tc>
        <w:tc>
          <w:tcPr>
            <w:tcW w:type="dxa" w:w="2224"/>
          </w:tcPr>
          <w:p>
            <w:r/>
            <w:r>
              <w:t>Nein</w:t>
            </w:r>
          </w:p>
        </w:tc>
        <w:tc>
          <w:tcPr>
            <w:tcW w:type="dxa" w:w="2224"/>
          </w:tcPr>
          <w:p>
            <w:r/>
            <w:r>
              <w:t>Nicht dokumentiert</w:t>
            </w:r>
          </w:p>
        </w:tc>
        <w:tc>
          <w:tcPr>
            <w:tcW w:type="dxa" w:w="2224"/>
          </w:tcPr>
          <w:p>
            <w:r/>
            <w:r>
              <w:t>Ja, Matrix-Feld</w:t>
            </w:r>
          </w:p>
        </w:tc>
        <w:tc>
          <w:tcPr>
            <w:tcW w:type="dxa" w:w="2224"/>
          </w:tcPr>
          <w:p>
            <w:r/>
            <w:r>
              <w:t>Ja</w:t>
            </w:r>
          </w:p>
        </w:tc>
        <w:tc>
          <w:tcPr>
            <w:tcW w:type="dxa" w:w="2224"/>
          </w:tcPr>
          <w:p>
            <w:r/>
            <w:r>
              <w:t>Ja</w:t>
            </w:r>
          </w:p>
        </w:tc>
      </w:tr>
      <w:tr>
        <w:tc>
          <w:tcPr>
            <w:tcW w:type="dxa" w:w="2224"/>
          </w:tcPr>
          <w:p>
            <w:r/>
            <w:r>
              <w:rPr>
                <w:b/>
              </w:rPr>
              <w:t>«Bereits Kunde»</w:t>
            </w:r>
          </w:p>
        </w:tc>
        <w:tc>
          <w:tcPr>
            <w:tcW w:type="dxa" w:w="2224"/>
          </w:tcPr>
          <w:p>
            <w:r/>
            <w:r>
              <w:t>Eingebaut — Anmeldung wird mit Kontakt verknüpft</w:t>
            </w:r>
          </w:p>
        </w:tc>
        <w:tc>
          <w:tcPr>
            <w:tcW w:type="dxa" w:w="2224"/>
          </w:tcPr>
          <w:p>
            <w:r/>
            <w:r>
              <w:t>Nur als Frage</w:t>
            </w:r>
          </w:p>
        </w:tc>
        <w:tc>
          <w:tcPr>
            <w:tcW w:type="dxa" w:w="2224"/>
          </w:tcPr>
          <w:p>
            <w:r/>
            <w:r>
              <w:t>Nur als Frage</w:t>
            </w:r>
          </w:p>
        </w:tc>
        <w:tc>
          <w:tcPr>
            <w:tcW w:type="dxa" w:w="2224"/>
          </w:tcPr>
          <w:p>
            <w:r/>
            <w:r>
              <w:t>Nur als Frage</w:t>
            </w:r>
          </w:p>
        </w:tc>
        <w:tc>
          <w:tcPr>
            <w:tcW w:type="dxa" w:w="2224"/>
          </w:tcPr>
          <w:p>
            <w:r/>
            <w:r>
              <w:t>Nur als Frage</w:t>
            </w:r>
          </w:p>
        </w:tc>
      </w:tr>
      <w:tr>
        <w:tc>
          <w:tcPr>
            <w:tcW w:type="dxa" w:w="2224"/>
          </w:tcPr>
          <w:p>
            <w:r/>
            <w:r>
              <w:rPr>
                <w:b/>
              </w:rPr>
              <w:t>Weg in die Rechnung</w:t>
            </w:r>
          </w:p>
        </w:tc>
        <w:tc>
          <w:tcPr>
            <w:tcW w:type="dxa" w:w="2224"/>
          </w:tcPr>
          <w:p>
            <w:r/>
            <w:r>
              <w:t>Direkt — alles in Fairgate</w:t>
            </w:r>
          </w:p>
        </w:tc>
        <w:tc>
          <w:tcPr>
            <w:tcW w:type="dxa" w:w="2224"/>
          </w:tcPr>
          <w:p>
            <w:r/>
            <w:r>
              <w:t>CSV → Fairgate</w:t>
            </w:r>
          </w:p>
        </w:tc>
        <w:tc>
          <w:tcPr>
            <w:tcW w:type="dxa" w:w="2224"/>
          </w:tcPr>
          <w:p>
            <w:r/>
            <w:r>
              <w:t>CSV → Fairgate</w:t>
            </w:r>
          </w:p>
        </w:tc>
        <w:tc>
          <w:tcPr>
            <w:tcW w:type="dxa" w:w="2224"/>
          </w:tcPr>
          <w:p>
            <w:r/>
            <w:r>
              <w:t>CSV → Fairgate</w:t>
            </w:r>
          </w:p>
        </w:tc>
        <w:tc>
          <w:tcPr>
            <w:tcW w:type="dxa" w:w="2224"/>
          </w:tcPr>
          <w:p>
            <w:r/>
            <w:r>
              <w:t>CSV → Fairgate</w:t>
            </w:r>
          </w:p>
        </w:tc>
      </w:tr>
      <w:tr>
        <w:tc>
          <w:tcPr>
            <w:tcW w:type="dxa" w:w="2224"/>
          </w:tcPr>
          <w:p>
            <w:r/>
            <w:r>
              <w:rPr>
                <w:b/>
              </w:rPr>
              <w:t>Wer betreut es</w:t>
            </w:r>
          </w:p>
        </w:tc>
        <w:tc>
          <w:tcPr>
            <w:tcW w:type="dxa" w:w="2224"/>
          </w:tcPr>
          <w:p>
            <w:r/>
            <w:r>
              <w:t>Datenperson der Schule</w:t>
            </w:r>
          </w:p>
        </w:tc>
        <w:tc>
          <w:tcPr>
            <w:tcW w:type="dxa" w:w="2224"/>
          </w:tcPr>
          <w:p>
            <w:r/>
            <w:r>
              <w:t>Schule</w:t>
            </w:r>
          </w:p>
        </w:tc>
        <w:tc>
          <w:tcPr>
            <w:tcW w:type="dxa" w:w="2224"/>
          </w:tcPr>
          <w:p>
            <w:r/>
            <w:r>
              <w:t>Schule</w:t>
            </w:r>
          </w:p>
        </w:tc>
        <w:tc>
          <w:tcPr>
            <w:tcW w:type="dxa" w:w="2224"/>
          </w:tcPr>
          <w:p>
            <w:r/>
            <w:r>
              <w:t>Website-Person, braucht Admin</w:t>
            </w:r>
          </w:p>
        </w:tc>
        <w:tc>
          <w:tcPr>
            <w:tcW w:type="dxa" w:w="2224"/>
          </w:tcPr>
          <w:p>
            <w:r/>
            <w:r>
              <w:t>Claudia mit Claude</w:t>
            </w:r>
          </w:p>
        </w:tc>
      </w:tr>
      <w:tr>
        <w:tc>
          <w:tcPr>
            <w:tcW w:type="dxa" w:w="2224"/>
          </w:tcPr>
          <w:p>
            <w:r/>
            <w:r>
              <w:rPr>
                <w:b/>
              </w:rPr>
              <w:t>Aufwand</w:t>
            </w:r>
          </w:p>
        </w:tc>
        <w:tc>
          <w:tcPr>
            <w:tcW w:type="dxa" w:w="2224"/>
          </w:tcPr>
          <w:p>
            <w:r/>
            <w:r>
              <w:t>Halber Tag, wenn die Felder reichen</w:t>
            </w:r>
          </w:p>
        </w:tc>
        <w:tc>
          <w:tcPr>
            <w:tcW w:type="dxa" w:w="2224"/>
          </w:tcPr>
          <w:p>
            <w:r/>
            <w:r>
              <w:t>1–2 Tage</w:t>
            </w:r>
          </w:p>
        </w:tc>
        <w:tc>
          <w:tcPr>
            <w:tcW w:type="dxa" w:w="2224"/>
          </w:tcPr>
          <w:p>
            <w:r/>
            <w:r>
              <w:t>1–2 Tage</w:t>
            </w:r>
          </w:p>
        </w:tc>
        <w:tc>
          <w:tcPr>
            <w:tcW w:type="dxa" w:w="2224"/>
          </w:tcPr>
          <w:p>
            <w:r/>
            <w:r>
              <w:t>1–2 Tage plus Plugin</w:t>
            </w:r>
          </w:p>
        </w:tc>
        <w:tc>
          <w:tcPr>
            <w:tcW w:type="dxa" w:w="2224"/>
          </w:tcPr>
          <w:p>
            <w:r/>
            <w:r>
              <w:t>4–6 Tage</w:t>
            </w:r>
          </w:p>
        </w:tc>
      </w:tr>
    </w:tbl>
    <w:p/>
    <w:p>
      <w:pPr>
        <w:spacing w:after="120"/>
      </w:pPr>
      <w:r>
        <w:rPr>
          <w:b/>
        </w:rPr>
        <w:t>Was pro Werkzeug anzupassen wäre:</w:t>
      </w:r>
      <w:r>
        <w:t xml:space="preserve"> Fairgate — vermutlich keine bedingten Felder, Verfügbarkeit pro Wochentag als Mehrfachauswahl, eine Anmeldung pro Person, Mindestzahl nur als Hinweis; dafür kein zweiter Anbieter. Formsly und Tally — feste Blöcke, Raster pro Tag bzw. als Matrix, Export nach Fairgate. Fluent Forms — Website muss selbst gehostet sein, Website-Person pflegt das Plugin. Eigene Seite — kann alles aus dem Entwurf; wir müssten es selbst bauen und tragen.</w:t>
      </w:r>
    </w:p>
    <w:p>
      <w:pPr>
        <w:spacing w:after="120"/>
      </w:pPr>
      <w:r>
        <w:rPr>
          <w:b/>
        </w:rPr>
        <w:t>Fairgate, bekannt:</w:t>
      </w:r>
      <w:r>
        <w:t xml:space="preserve"> Modul Kurse &amp; Events mit Online-Anmeldung — pro Event ein-/ausschaltbar, offen für alle oder nur für Kontakte, Anmeldestart einstellbar, Formular aus Kontaktfeldern und eigenen Feldern mit Pflicht-Markierung, versteckte Felder für die Gruppenzuteilung, Teilnehmerstatus, Anmeldung mit bestehendem Kontakt zusammenführbar, Tickets und Preise. Quellen: https://support.fairgate.ch/de/kb/articles/anmeldeformular-2 · https://support.fairgate.ch/de/kb/articles/anmeldung-einrichten · https://support.fairgate.ch/de/kb/articles/event-funktionen-im-berblick-2</w:t>
      </w:r>
    </w:p>
    <w:p>
      <w:pPr>
        <w:spacing w:after="120"/>
      </w:pPr>
      <w:r>
        <w:rPr>
          <w:b/>
        </w:rPr>
        <w:t>Testliste Fairgate</w:t>
      </w:r>
      <w:r>
        <w:t xml:space="preserve"> — pro Punkt: geht / geht mit Umweg / geht nicht:</w:t>
      </w:r>
    </w:p>
    <w:p>
      <w:pPr>
        <w:pStyle w:val="ListNumber"/>
        <w:spacing w:after="60"/>
      </w:pPr>
      <w:r>
        <w:t>Feldtypen: Mehrfachauswahl, Dropdown, Ja/Nein, Zahl, Freitext?</w:t>
      </w:r>
    </w:p>
    <w:p>
      <w:pPr>
        <w:pStyle w:val="ListNumber"/>
        <w:spacing w:after="60"/>
      </w:pPr>
      <w:r>
        <w:t>Bedingte Felder: Adresse nur bei Neukunden, Jahrgang nur bei Kindern?</w:t>
      </w:r>
    </w:p>
    <w:p>
      <w:pPr>
        <w:pStyle w:val="ListNumber"/>
        <w:spacing w:after="60"/>
      </w:pPr>
      <w:r>
        <w:t>Mehrere Lektionen: feste Blöcke 1 / 2 / 3 oder eine Anmeldung pro Lektion?</w:t>
      </w:r>
    </w:p>
    <w:p>
      <w:pPr>
        <w:pStyle w:val="ListNumber"/>
        <w:spacing w:after="60"/>
      </w:pPr>
      <w:r>
        <w:t>Mehrere Personen: zwei Kinder in einer Anmeldung? Wie wird das Kind als Kontakt angelegt?</w:t>
      </w:r>
    </w:p>
    <w:p>
      <w:pPr>
        <w:pStyle w:val="ListNumber"/>
        <w:spacing w:after="60"/>
      </w:pPr>
      <w:r>
        <w:t>Bestehender Kunde: Erkennung über E-Mail oder Login, Daten vorbefüllt?</w:t>
      </w:r>
    </w:p>
    <w:p>
      <w:pPr>
        <w:pStyle w:val="ListNumber"/>
        <w:spacing w:after="60"/>
      </w:pPr>
      <w:r>
        <w:t>Mindestzahl «drei Stunden» erzwingbar?</w:t>
      </w:r>
    </w:p>
    <w:p>
      <w:pPr>
        <w:pStyle w:val="ListNumber"/>
        <w:spacing w:after="60"/>
      </w:pPr>
      <w:r>
        <w:t>Bestätigungsmail automatisch, frei formulierbar, mit den Angaben?</w:t>
      </w:r>
    </w:p>
    <w:p>
      <w:pPr>
        <w:pStyle w:val="ListNumber"/>
        <w:spacing w:after="60"/>
      </w:pPr>
      <w:r>
        <w:t>Anmeldefenster: Start, Ende, Text danach?</w:t>
      </w:r>
    </w:p>
    <w:p>
      <w:pPr>
        <w:pStyle w:val="ListNumber"/>
        <w:spacing w:after="60"/>
      </w:pPr>
      <w:r>
        <w:t>Export aller Felder als CSV/Excel?</w:t>
      </w:r>
    </w:p>
    <w:p>
      <w:pPr>
        <w:pStyle w:val="ListNumber"/>
        <w:spacing w:after="60"/>
      </w:pPr>
      <w:r>
        <w:t>Datenschutz: eigener Einwilligungstext, Pflicht-Häkchen, Link?</w:t>
      </w:r>
    </w:p>
    <w:p>
      <w:pPr>
        <w:pStyle w:val="ListNumber"/>
        <w:spacing w:after="60"/>
      </w:pPr>
      <w:r>
        <w:t>Darstellung auf dem Handy; Link oder Einbettung in WordPress?</w:t>
      </w:r>
    </w:p>
    <w:p>
      <w:pPr>
        <w:pStyle w:val="ListNumber"/>
        <w:spacing w:after="60"/>
      </w:pPr>
      <w:r>
        <w:t>Ist Kurse &amp; Events im bestehenden Abo enthalten?</w:t>
      </w:r>
    </w:p>
    <w:p>
      <w:pPr>
        <w:spacing w:after="120"/>
      </w:pPr>
      <w:r>
        <w:rPr>
          <w:b/>
        </w:rPr>
        <w:t>Rangfolge:</w:t>
      </w:r>
      <w:r>
        <w:t xml:space="preserve"> 1 Fairgate prüfen · 2 Tally · 3 Formsly · 4 Fluent Forms · 5 eigene Seite.</w:t>
      </w:r>
    </w:p>
    <w:p>
      <w:pPr>
        <w:spacing w:after="120"/>
      </w:pPr>
      <w:r>
        <w:rPr>
          <w:b/>
        </w:rPr>
        <w:t>WordPress:</w:t>
      </w:r>
      <w:r>
        <w:t xml:space="preserve"> Für Fairgate, Formsly, Tally oder eine eigene Seite wird nichts installiert — die Website-Person setzt einen Knopf «Jetzt anmelden» mit dem Link oder einen Block «Eigenes HTML» ein. Für Fluent Forms installiert jemand mit Administrator-Rechten das Plugin; auf wordpress.com erst in teureren Tarifen möglich.</w:t>
      </w:r>
    </w:p>
    <w:p>
      <w:pPr>
        <w:pStyle w:val="Heading2"/>
      </w:pPr>
      <w:r>
        <w:rPr>
          <w:color w:val="0F5C55"/>
        </w:rPr>
        <w:t>4.2 Andere Recherchen: Smart Serve und MyTennis.School</w:t>
      </w:r>
    </w:p>
    <w:p>
      <w:pPr>
        <w:spacing w:after="120"/>
      </w:pPr>
      <w:r>
        <w:t xml:space="preserve">Beide decken Abrechnung mit QR-Rechnung und automatische Gruppeneinteilung ab, aber weder den Statusplan noch das Planen auf Papier, fremde Mietplätze oder Anmeldungen per WhatsApp. Die Rechnungsstellung ist über Fairgate lösbar (4.3). </w:t>
      </w:r>
      <w:r>
        <w:rPr>
          <w:b/>
        </w:rPr>
        <w:t>Empfehlung: kein Wechsel.</w:t>
      </w:r>
      <w:r>
        <w:t xml:space="preserve"> Details: https://tennisschule-saisonplanung.pages.dev/andere-recherchen</w:t>
      </w:r>
    </w:p>
    <w:p>
      <w:pPr>
        <w:pStyle w:val="Heading2"/>
      </w:pPr>
      <w:r>
        <w:rPr>
          <w:color w:val="0F5C55"/>
        </w:rPr>
        <w:t>4.3 Fairgate: Rechnung und Zahlungseingänge</w:t>
      </w:r>
    </w:p>
    <w:p>
      <w:pPr>
        <w:spacing w:after="120"/>
      </w:pPr>
      <w:r>
        <w:rPr>
          <w:b/>
        </w:rPr>
        <w:t>Rechnung mit Termin-Text:</w:t>
      </w:r>
      <w:r>
        <w:t xml:space="preserve"> Fairgate kann bei einem Artikel Anzahl, Betrag und Beschrieb pro Empfänger aus einem Kontakt-Datenfeld ziehen («Kontaktfeld verwenden»). Ein Artikel pro Preis; der Termin-Text («Dienstag 14:00 bei Bobi, Platz 5») kommt aus einem Datenfeld, das unser Tool per CSV-Update-Import befüllt. Die Musterrechnung der Schule zeigt dieses Format bereits. Vor dem Bau des Exports: Probelauf mit fünf Personen.</w:t>
      </w:r>
    </w:p>
    <w:p>
      <w:pPr>
        <w:spacing w:after="120"/>
      </w:pPr>
      <w:r>
        <w:rPr>
          <w:b/>
        </w:rPr>
        <w:t>Zahlungseingänge:</w:t>
      </w:r>
      <w:r>
        <w:t xml:space="preserve"> Jede Rechnung trägt eine eindeutige Referenznummer. PostFinance liefert Gutschriftsanzeigen als camt.054-Datei mit dieser Referenz. Kann Fairgate sie einlesen, gilt die Rechnung automatisch als bezahlt; offene Rechnungen landen im Mahnwesen.</w:t>
      </w:r>
    </w:p>
    <w:p>
      <w:pPr>
        <w:spacing w:after="120"/>
      </w:pPr>
      <w:r>
        <w:t>Fragen an den Fairgate-Support: Zahlungsabgleich (camt.054-Import) vorhanden und eingerichtet? · Strukturierte QR-Referenz? · Mahnwesen automatisch? · Liste der offenen Posten? Fragen an PostFinance: camt.054 für dieses Konto verfügbar? · QR-IBAN vorhanden? · Tägliche automatische Lieferung möglich?</w:t>
      </w:r>
    </w:p>
    <w:p>
      <w:pPr>
        <w:pStyle w:val="Heading1"/>
      </w:pPr>
      <w:r>
        <w:rPr>
          <w:color w:val="0F5C55"/>
        </w:rPr>
        <w:t>5. Inhalte</w:t>
      </w:r>
    </w:p>
    <w:p>
      <w:pPr>
        <w:pStyle w:val="Heading2"/>
      </w:pPr>
      <w:r>
        <w:rPr>
          <w:color w:val="0F5C55"/>
        </w:rPr>
        <w:t>5.1 Online-Formular — Entwurf</w:t>
      </w:r>
    </w:p>
    <w:p>
      <w:pPr>
        <w:spacing w:after="120"/>
      </w:pPr>
      <w:r>
        <w:t>Klickbar: https://anmeldung-tennisschule.pages.dev/</w:t>
      </w:r>
    </w:p>
    <w:p>
      <w:r>
        <w:drawing>
          <wp:inline xmlns:a="http://schemas.openxmlformats.org/drawingml/2006/main" xmlns:pic="http://schemas.openxmlformats.org/drawingml/2006/picture">
            <wp:extent cx="8474710" cy="9322181"/>
            <wp:docPr id="2" name="Picture 2"/>
            <wp:cNvGraphicFramePr>
              <a:graphicFrameLocks noChangeAspect="1"/>
            </wp:cNvGraphicFramePr>
            <a:graphic>
              <a:graphicData uri="http://schemas.openxmlformats.org/drawingml/2006/picture">
                <pic:pic>
                  <pic:nvPicPr>
                    <pic:cNvPr id="0" name="formular.jpg"/>
                    <pic:cNvPicPr/>
                  </pic:nvPicPr>
                  <pic:blipFill>
                    <a:blip r:embed="rId10"/>
                    <a:stretch>
                      <a:fillRect/>
                    </a:stretch>
                  </pic:blipFill>
                  <pic:spPr>
                    <a:xfrm>
                      <a:off x="0" y="0"/>
                      <a:ext cx="8474710" cy="9322181"/>
                    </a:xfrm>
                    <a:prstGeom prst="rect"/>
                  </pic:spPr>
                </pic:pic>
              </a:graphicData>
            </a:graphic>
          </wp:inline>
        </w:drawing>
      </w:r>
    </w:p>
    <w:p>
      <w:pPr>
        <w:spacing w:after="120"/>
      </w:pPr>
      <w:r>
        <w:t>Der Entwurf zeigt Inhalt und Reihenfolge. Wie die Maske am Ende aussieht, hängt vom gewählten Werkzeug ab; nicht jedes kann mehrere Personen in einer Anmeldung oder Felder, die je nach Antwort erscheinen.</w:t>
      </w:r>
    </w:p>
    <w:p>
      <w:pPr>
        <w:spacing w:after="120"/>
      </w:pPr>
      <w:r>
        <w:rPr>
          <w:b/>
        </w:rPr>
        <w:t>Aufbau:</w:t>
      </w:r>
      <w:r>
        <w:t xml:space="preserve"> Kontakt — Kursteilnehmerin / Kursteilnehmer (eine oder mehrere, je mit Lektionen und Verfügbarkeit) — Bestätigung (Bedingungen, Datenschutz, Absenden). Danach automatische Bestätigungsmail.</w:t>
      </w:r>
    </w:p>
    <w:tbl>
      <w:tblPr>
        <w:tblStyle w:val="LightGrid-Accent1"/>
        <w:tblW w:type="auto" w:w="0"/>
        <w:tblLook w:firstColumn="1" w:firstRow="1" w:lastColumn="0" w:lastRow="0" w:noHBand="0" w:noVBand="1" w:val="04A0"/>
      </w:tblPr>
      <w:tblGrid>
        <w:gridCol w:w="4449"/>
        <w:gridCol w:w="4449"/>
        <w:gridCol w:w="4449"/>
      </w:tblGrid>
      <w:tr>
        <w:tc>
          <w:tcPr>
            <w:tcW w:type="dxa" w:w="4449"/>
          </w:tcPr>
          <w:p>
            <w:r>
              <w:rPr>
                <w:b/>
              </w:rPr>
            </w:r>
            <w:r>
              <w:rPr>
                <w:b/>
              </w:rPr>
              <w:t>Kontakt</w:t>
            </w:r>
          </w:p>
        </w:tc>
        <w:tc>
          <w:tcPr>
            <w:tcW w:type="dxa" w:w="4449"/>
          </w:tcPr>
          <w:p>
            <w:r>
              <w:rPr>
                <w:b/>
              </w:rPr>
            </w:r>
            <w:r>
              <w:rPr>
                <w:b/>
              </w:rPr>
              <w:t>Pflicht</w:t>
            </w:r>
          </w:p>
        </w:tc>
        <w:tc>
          <w:tcPr>
            <w:tcW w:type="dxa" w:w="4449"/>
          </w:tcPr>
          <w:p>
            <w:r>
              <w:rPr>
                <w:b/>
              </w:rPr>
            </w:r>
            <w:r>
              <w:rPr>
                <w:b/>
              </w:rPr>
              <w:t>Bemerkung</w:t>
            </w:r>
          </w:p>
        </w:tc>
      </w:tr>
      <w:tr>
        <w:tc>
          <w:tcPr>
            <w:tcW w:type="dxa" w:w="4449"/>
          </w:tcPr>
          <w:p>
            <w:r/>
            <w:r>
              <w:t>Bereits Kunde / Kundin?</w:t>
            </w:r>
          </w:p>
        </w:tc>
        <w:tc>
          <w:tcPr>
            <w:tcW w:type="dxa" w:w="4449"/>
          </w:tcPr>
          <w:p>
            <w:r/>
            <w:r>
              <w:t>Pflicht</w:t>
            </w:r>
          </w:p>
        </w:tc>
        <w:tc>
          <w:tcPr>
            <w:tcW w:type="dxa" w:w="4449"/>
          </w:tcPr>
          <w:p>
            <w:r/>
            <w:r>
              <w:t>Ja (bestehender Kunde) · Nein (Neukunde)</w:t>
            </w:r>
          </w:p>
        </w:tc>
      </w:tr>
      <w:tr>
        <w:tc>
          <w:tcPr>
            <w:tcW w:type="dxa" w:w="4449"/>
          </w:tcPr>
          <w:p>
            <w:r/>
            <w:r>
              <w:t>Adresse hat sich geändert</w:t>
            </w:r>
          </w:p>
        </w:tc>
        <w:tc>
          <w:tcPr>
            <w:tcW w:type="dxa" w:w="4449"/>
          </w:tcPr>
          <w:p>
            <w:r/>
            <w:r>
              <w:t>—</w:t>
            </w:r>
          </w:p>
        </w:tc>
        <w:tc>
          <w:tcPr>
            <w:tcW w:type="dxa" w:w="4449"/>
          </w:tcPr>
          <w:p>
            <w:r/>
            <w:r>
              <w:t>Nur bestehende Kunden</w:t>
            </w:r>
          </w:p>
        </w:tc>
      </w:tr>
      <w:tr>
        <w:tc>
          <w:tcPr>
            <w:tcW w:type="dxa" w:w="4449"/>
          </w:tcPr>
          <w:p>
            <w:r/>
            <w:r>
              <w:t>Name, Vorname</w:t>
            </w:r>
          </w:p>
        </w:tc>
        <w:tc>
          <w:tcPr>
            <w:tcW w:type="dxa" w:w="4449"/>
          </w:tcPr>
          <w:p>
            <w:r/>
            <w:r>
              <w:t>Pflicht</w:t>
            </w:r>
          </w:p>
        </w:tc>
        <w:tc>
          <w:tcPr>
            <w:tcW w:type="dxa" w:w="4449"/>
          </w:tcPr>
          <w:p>
            <w:r/>
            <w:r>
              <w:t>Die anmeldende Person</w:t>
            </w:r>
          </w:p>
        </w:tc>
      </w:tr>
      <w:tr>
        <w:tc>
          <w:tcPr>
            <w:tcW w:type="dxa" w:w="4449"/>
          </w:tcPr>
          <w:p>
            <w:r/>
            <w:r>
              <w:t>Mobiltelefonnummer, E-Mail</w:t>
            </w:r>
          </w:p>
        </w:tc>
        <w:tc>
          <w:tcPr>
            <w:tcW w:type="dxa" w:w="4449"/>
          </w:tcPr>
          <w:p>
            <w:r/>
            <w:r>
              <w:t>Pflicht</w:t>
            </w:r>
          </w:p>
        </w:tc>
        <w:tc>
          <w:tcPr>
            <w:tcW w:type="dxa" w:w="4449"/>
          </w:tcPr>
          <w:p>
            <w:r/>
            <w:r>
              <w:t>E-Mail erhält die Bestätigung</w:t>
            </w:r>
          </w:p>
        </w:tc>
      </w:tr>
      <w:tr>
        <w:tc>
          <w:tcPr>
            <w:tcW w:type="dxa" w:w="4449"/>
          </w:tcPr>
          <w:p>
            <w:r/>
            <w:r>
              <w:t>Strasse, PLZ, Ort</w:t>
            </w:r>
          </w:p>
        </w:tc>
        <w:tc>
          <w:tcPr>
            <w:tcW w:type="dxa" w:w="4449"/>
          </w:tcPr>
          <w:p>
            <w:r/>
            <w:r>
              <w:t>Pflicht, wenn sichtbar</w:t>
            </w:r>
          </w:p>
        </w:tc>
        <w:tc>
          <w:tcPr>
            <w:tcW w:type="dxa" w:w="4449"/>
          </w:tcPr>
          <w:p>
            <w:r/>
            <w:r>
              <w:t>Nur Neukunden oder bei Adressänderung</w:t>
            </w:r>
          </w:p>
        </w:tc>
      </w:tr>
      <w:tr>
        <w:tc>
          <w:tcPr>
            <w:tcW w:type="dxa" w:w="4449"/>
          </w:tcPr>
          <w:p>
            <w:r/>
            <w:r>
              <w:t>BLTC-Mitglied</w:t>
            </w:r>
          </w:p>
        </w:tc>
        <w:tc>
          <w:tcPr>
            <w:tcW w:type="dxa" w:w="4449"/>
          </w:tcPr>
          <w:p>
            <w:r/>
            <w:r>
              <w:t>—</w:t>
            </w:r>
          </w:p>
        </w:tc>
        <w:tc>
          <w:tcPr>
            <w:tcW w:type="dxa" w:w="4449"/>
          </w:tcPr>
          <w:p>
            <w:r/>
            <w:r>
              <w:t>Ja / Nein</w:t>
            </w:r>
          </w:p>
        </w:tc>
      </w:tr>
    </w:tbl>
    <w:p/>
    <w:tbl>
      <w:tblPr>
        <w:tblStyle w:val="LightGrid-Accent1"/>
        <w:tblW w:type="auto" w:w="0"/>
        <w:tblLook w:firstColumn="1" w:firstRow="1" w:lastColumn="0" w:lastRow="0" w:noHBand="0" w:noVBand="1" w:val="04A0"/>
      </w:tblPr>
      <w:tblGrid>
        <w:gridCol w:w="4449"/>
        <w:gridCol w:w="4449"/>
        <w:gridCol w:w="4449"/>
      </w:tblGrid>
      <w:tr>
        <w:tc>
          <w:tcPr>
            <w:tcW w:type="dxa" w:w="4449"/>
          </w:tcPr>
          <w:p>
            <w:r>
              <w:rPr>
                <w:b/>
              </w:rPr>
            </w:r>
            <w:r>
              <w:rPr>
                <w:b/>
              </w:rPr>
              <w:t>Pro Kursteilnehmer/in</w:t>
            </w:r>
          </w:p>
        </w:tc>
        <w:tc>
          <w:tcPr>
            <w:tcW w:type="dxa" w:w="4449"/>
          </w:tcPr>
          <w:p>
            <w:r>
              <w:rPr>
                <w:b/>
              </w:rPr>
            </w:r>
            <w:r>
              <w:rPr>
                <w:b/>
              </w:rPr>
              <w:t>Pflicht</w:t>
            </w:r>
          </w:p>
        </w:tc>
        <w:tc>
          <w:tcPr>
            <w:tcW w:type="dxa" w:w="4449"/>
          </w:tcPr>
          <w:p>
            <w:r>
              <w:rPr>
                <w:b/>
              </w:rPr>
            </w:r>
            <w:r>
              <w:rPr>
                <w:b/>
              </w:rPr>
              <w:t>Bemerkung</w:t>
            </w:r>
          </w:p>
        </w:tc>
      </w:tr>
      <w:tr>
        <w:tc>
          <w:tcPr>
            <w:tcW w:type="dxa" w:w="4449"/>
          </w:tcPr>
          <w:p>
            <w:r/>
            <w:r>
              <w:t>Kursteilnehmer/in</w:t>
            </w:r>
          </w:p>
        </w:tc>
        <w:tc>
          <w:tcPr>
            <w:tcW w:type="dxa" w:w="4449"/>
          </w:tcPr>
          <w:p>
            <w:r/>
            <w:r>
              <w:t>Pflicht</w:t>
            </w:r>
          </w:p>
        </w:tc>
        <w:tc>
          <w:tcPr>
            <w:tcW w:type="dxa" w:w="4449"/>
          </w:tcPr>
          <w:p>
            <w:r/>
            <w:r>
              <w:t>Ich selbst · Andere Person (dann Name, Vorname)</w:t>
            </w:r>
          </w:p>
        </w:tc>
      </w:tr>
      <w:tr>
        <w:tc>
          <w:tcPr>
            <w:tcW w:type="dxa" w:w="4449"/>
          </w:tcPr>
          <w:p>
            <w:r/>
            <w:r>
              <w:t>Altersstufe</w:t>
            </w:r>
          </w:p>
        </w:tc>
        <w:tc>
          <w:tcPr>
            <w:tcW w:type="dxa" w:w="4449"/>
          </w:tcPr>
          <w:p>
            <w:r/>
            <w:r>
              <w:t>Pflicht</w:t>
            </w:r>
          </w:p>
        </w:tc>
        <w:tc>
          <w:tcPr>
            <w:tcW w:type="dxa" w:w="4449"/>
          </w:tcPr>
          <w:p>
            <w:r/>
            <w:r>
              <w:t>Kind bis 10 · Junior/in 11–17 · Erwachsene ab 18</w:t>
            </w:r>
          </w:p>
        </w:tc>
      </w:tr>
      <w:tr>
        <w:tc>
          <w:tcPr>
            <w:tcW w:type="dxa" w:w="4449"/>
          </w:tcPr>
          <w:p>
            <w:r/>
            <w:r>
              <w:t>Kids-Stufe</w:t>
            </w:r>
          </w:p>
        </w:tc>
        <w:tc>
          <w:tcPr>
            <w:tcW w:type="dxa" w:w="4449"/>
          </w:tcPr>
          <w:p>
            <w:r/>
            <w:r>
              <w:t>—</w:t>
            </w:r>
          </w:p>
        </w:tc>
        <w:tc>
          <w:tcPr>
            <w:tcW w:type="dxa" w:w="4449"/>
          </w:tcPr>
          <w:p>
            <w:r/>
            <w:r>
              <w:t>Nur Kind: Rot · Orange · Grün</w:t>
            </w:r>
          </w:p>
        </w:tc>
      </w:tr>
      <w:tr>
        <w:tc>
          <w:tcPr>
            <w:tcW w:type="dxa" w:w="4449"/>
          </w:tcPr>
          <w:p>
            <w:r/>
            <w:r>
              <w:t>Jahrgang</w:t>
            </w:r>
          </w:p>
        </w:tc>
        <w:tc>
          <w:tcPr>
            <w:tcW w:type="dxa" w:w="4449"/>
          </w:tcPr>
          <w:p>
            <w:r/>
            <w:r>
              <w:t>Pflicht</w:t>
            </w:r>
          </w:p>
        </w:tc>
        <w:tc>
          <w:tcPr>
            <w:tcW w:type="dxa" w:w="4449"/>
          </w:tcPr>
          <w:p>
            <w:r/>
            <w:r>
              <w:t>Nur Kind und Junior</w:t>
            </w:r>
          </w:p>
        </w:tc>
      </w:tr>
      <w:tr>
        <w:tc>
          <w:tcPr>
            <w:tcW w:type="dxa" w:w="4449"/>
          </w:tcPr>
          <w:p>
            <w:r/>
            <w:r>
              <w:t>AHV-Nummer</w:t>
            </w:r>
          </w:p>
        </w:tc>
        <w:tc>
          <w:tcPr>
            <w:tcW w:type="dxa" w:w="4449"/>
          </w:tcPr>
          <w:p>
            <w:r/>
            <w:r>
              <w:t>optional</w:t>
            </w:r>
          </w:p>
        </w:tc>
        <w:tc>
          <w:tcPr>
            <w:tcW w:type="dxa" w:w="4449"/>
          </w:tcPr>
          <w:p>
            <w:r/>
            <w:r>
              <w:t>Nur Kind und Junior</w:t>
            </w:r>
          </w:p>
        </w:tc>
      </w:tr>
      <w:tr>
        <w:tc>
          <w:tcPr>
            <w:tcW w:type="dxa" w:w="4449"/>
          </w:tcPr>
          <w:p>
            <w:r/>
            <w:r>
              <w:t>Spielstärke</w:t>
            </w:r>
          </w:p>
        </w:tc>
        <w:tc>
          <w:tcPr>
            <w:tcW w:type="dxa" w:w="4449"/>
          </w:tcPr>
          <w:p>
            <w:r/>
            <w:r>
              <w:t>Pflicht für Neukunden, optional für bestehende</w:t>
            </w:r>
          </w:p>
        </w:tc>
        <w:tc>
          <w:tcPr>
            <w:tcW w:type="dxa" w:w="4449"/>
          </w:tcPr>
          <w:p>
            <w:r/>
            <w:r>
              <w:t>1–5 oder «bitte einstufen»</w:t>
            </w:r>
          </w:p>
        </w:tc>
      </w:tr>
      <w:tr>
        <w:tc>
          <w:tcPr>
            <w:tcW w:type="dxa" w:w="4449"/>
          </w:tcPr>
          <w:p>
            <w:r/>
            <w:r>
              <w:t>Lektionen (eine oder mehrere)</w:t>
            </w:r>
          </w:p>
        </w:tc>
        <w:tc>
          <w:tcPr>
            <w:tcW w:type="dxa" w:w="4449"/>
          </w:tcPr>
          <w:p>
            <w:r/>
            <w:r>
              <w:t>Pflicht</w:t>
            </w:r>
          </w:p>
        </w:tc>
        <w:tc>
          <w:tcPr>
            <w:tcW w:type="dxa" w:w="4449"/>
          </w:tcPr>
          <w:p>
            <w:r/>
            <w:r>
              <w:t>Gruppenkurs 60 / 90 Min · Wettkampftraining 2 / 4 / 6 / 8 Std pro Woche · Privatlektion 45 / 60 / 90 Min, allein oder zu zweit. Pro Lektion «Zusammen mit»</w:t>
            </w:r>
          </w:p>
        </w:tc>
      </w:tr>
      <w:tr>
        <w:tc>
          <w:tcPr>
            <w:tcW w:type="dxa" w:w="4449"/>
          </w:tcPr>
          <w:p>
            <w:r/>
            <w:r>
              <w:t>Bisherige Gruppe / Zeit behalten?</w:t>
            </w:r>
          </w:p>
        </w:tc>
        <w:tc>
          <w:tcPr>
            <w:tcW w:type="dxa" w:w="4449"/>
          </w:tcPr>
          <w:p>
            <w:r/>
            <w:r>
              <w:t>—</w:t>
            </w:r>
          </w:p>
        </w:tc>
        <w:tc>
          <w:tcPr>
            <w:tcW w:type="dxa" w:w="4449"/>
          </w:tcPr>
          <w:p>
            <w:r/>
            <w:r>
              <w:t>Ja, wenn möglich · Eher nicht · Keine Angabe</w:t>
            </w:r>
          </w:p>
        </w:tc>
      </w:tr>
      <w:tr>
        <w:tc>
          <w:tcPr>
            <w:tcW w:type="dxa" w:w="4449"/>
          </w:tcPr>
          <w:p>
            <w:r/>
            <w:r>
              <w:t>Mögliche Trainingszeiten</w:t>
            </w:r>
          </w:p>
        </w:tc>
        <w:tc>
          <w:tcPr>
            <w:tcW w:type="dxa" w:w="4449"/>
          </w:tcPr>
          <w:p>
            <w:r/>
            <w:r>
              <w:t>Pflicht, mindestens 3</w:t>
            </w:r>
          </w:p>
        </w:tc>
        <w:tc>
          <w:tcPr>
            <w:tcW w:type="dxa" w:w="4449"/>
          </w:tcPr>
          <w:p>
            <w:r/>
            <w:r>
              <w:t>Raster Mo–Sa × 08–21 Uhr</w:t>
            </w:r>
          </w:p>
        </w:tc>
      </w:tr>
      <w:tr>
        <w:tc>
          <w:tcPr>
            <w:tcW w:type="dxa" w:w="4449"/>
          </w:tcPr>
          <w:p>
            <w:r/>
            <w:r>
              <w:t>Bevorzugte Zeit</w:t>
            </w:r>
          </w:p>
        </w:tc>
        <w:tc>
          <w:tcPr>
            <w:tcW w:type="dxa" w:w="4449"/>
          </w:tcPr>
          <w:p>
            <w:r/>
            <w:r>
              <w:t>optional</w:t>
            </w:r>
          </w:p>
        </w:tc>
        <w:tc>
          <w:tcPr>
            <w:tcW w:type="dxa" w:w="4449"/>
          </w:tcPr>
          <w:p>
            <w:r/>
            <w:r>
              <w:t>Auswahl aus den angewählten Stunden</w:t>
            </w:r>
          </w:p>
        </w:tc>
      </w:tr>
      <w:tr>
        <w:tc>
          <w:tcPr>
            <w:tcW w:type="dxa" w:w="4449"/>
          </w:tcPr>
          <w:p>
            <w:r/>
            <w:r>
              <w:t>Wunschtrainer/in, Bemerkungen</w:t>
            </w:r>
          </w:p>
        </w:tc>
        <w:tc>
          <w:tcPr>
            <w:tcW w:type="dxa" w:w="4449"/>
          </w:tcPr>
          <w:p>
            <w:r/>
            <w:r>
              <w:t>optional</w:t>
            </w:r>
          </w:p>
        </w:tc>
        <w:tc>
          <w:tcPr>
            <w:tcW w:type="dxa" w:w="4449"/>
          </w:tcPr>
          <w:p>
            <w:r/>
          </w:p>
        </w:tc>
      </w:tr>
    </w:tbl>
    <w:p/>
    <w:tbl>
      <w:tblPr>
        <w:tblStyle w:val="LightGrid-Accent1"/>
        <w:tblW w:type="auto" w:w="0"/>
        <w:tblLook w:firstColumn="1" w:firstRow="1" w:lastColumn="0" w:lastRow="0" w:noHBand="0" w:noVBand="1" w:val="04A0"/>
      </w:tblPr>
      <w:tblGrid>
        <w:gridCol w:w="4449"/>
        <w:gridCol w:w="4449"/>
        <w:gridCol w:w="4449"/>
      </w:tblGrid>
      <w:tr>
        <w:tc>
          <w:tcPr>
            <w:tcW w:type="dxa" w:w="4449"/>
          </w:tcPr>
          <w:p>
            <w:r>
              <w:rPr>
                <w:b/>
              </w:rPr>
            </w:r>
            <w:r>
              <w:rPr>
                <w:b/>
              </w:rPr>
              <w:t>Bestätigung</w:t>
            </w:r>
          </w:p>
        </w:tc>
        <w:tc>
          <w:tcPr>
            <w:tcW w:type="dxa" w:w="4449"/>
          </w:tcPr>
          <w:p>
            <w:r>
              <w:rPr>
                <w:b/>
              </w:rPr>
            </w:r>
            <w:r>
              <w:rPr>
                <w:b/>
              </w:rPr>
              <w:t>Pflicht</w:t>
            </w:r>
          </w:p>
        </w:tc>
        <w:tc>
          <w:tcPr>
            <w:tcW w:type="dxa" w:w="4449"/>
          </w:tcPr>
          <w:p>
            <w:r>
              <w:rPr>
                <w:b/>
              </w:rPr>
            </w:r>
            <w:r>
              <w:rPr>
                <w:b/>
              </w:rPr>
              <w:t>Bemerkung</w:t>
            </w:r>
          </w:p>
        </w:tc>
      </w:tr>
      <w:tr>
        <w:tc>
          <w:tcPr>
            <w:tcW w:type="dxa" w:w="4449"/>
          </w:tcPr>
          <w:p>
            <w:r/>
            <w:r>
              <w:t>Bedingungen und Tarife; verbindlich bis Kursbestätigung Ende [Monat]</w:t>
            </w:r>
          </w:p>
        </w:tc>
        <w:tc>
          <w:tcPr>
            <w:tcW w:type="dxa" w:w="4449"/>
          </w:tcPr>
          <w:p>
            <w:r/>
            <w:r>
              <w:t>Pflicht</w:t>
            </w:r>
          </w:p>
        </w:tc>
        <w:tc>
          <w:tcPr>
            <w:tcW w:type="dxa" w:w="4449"/>
          </w:tcPr>
          <w:p>
            <w:r/>
            <w:r>
              <w:t>Ersetzt Unterschrift; Zeitstempel</w:t>
            </w:r>
          </w:p>
        </w:tc>
      </w:tr>
      <w:tr>
        <w:tc>
          <w:tcPr>
            <w:tcW w:type="dxa" w:w="4449"/>
          </w:tcPr>
          <w:p>
            <w:r/>
            <w:r>
              <w:t>Einwilligung Datenschutz</w:t>
            </w:r>
          </w:p>
        </w:tc>
        <w:tc>
          <w:tcPr>
            <w:tcW w:type="dxa" w:w="4449"/>
          </w:tcPr>
          <w:p>
            <w:r/>
            <w:r>
              <w:t>Pflicht</w:t>
            </w:r>
          </w:p>
        </w:tc>
        <w:tc>
          <w:tcPr>
            <w:tcW w:type="dxa" w:w="4449"/>
          </w:tcPr>
          <w:p>
            <w:r/>
            <w:r>
              <w:t>Bei Minderjährigen mit Bestätigung der Erziehungsberechtigung; Link zur Datenschutzerklärung</w:t>
            </w:r>
          </w:p>
        </w:tc>
      </w:tr>
    </w:tbl>
    <w:p/>
    <w:p>
      <w:pPr>
        <w:spacing w:after="120"/>
      </w:pPr>
      <w:r>
        <w:rPr>
          <w:b/>
        </w:rPr>
        <w:t>Weggefallen gegenüber Papier:</w:t>
      </w:r>
      <w:r>
        <w:t xml:space="preserve"> Ladies Morning, Seniorentraining, Mannschaftstraining, Konditions-/Athletiktraining (kaum bis nie gewählt; zu besprechen) · Geburtsdatum · AHV-Nummer bei Erwachsenen (zu besprechen) · Hinweis «10er-Abo» (zu besprechen) · Tel. G. · Ort / Datum / Unterschrift · Belag-Wunsch (zu besprechen).</w:t>
      </w:r>
    </w:p>
    <w:p>
      <w:pPr>
        <w:spacing w:after="120"/>
      </w:pPr>
      <w:r>
        <w:rPr>
          <w:b/>
        </w:rPr>
        <w:t>Bestätigungsmail, Vorschlag:</w:t>
      </w:r>
    </w:p>
    <w:p>
      <w:pPr>
        <w:spacing w:after="120"/>
        <w:ind w:left="454"/>
      </w:pPr>
      <w:r>
        <w:rPr>
          <w:i/>
        </w:rPr>
        <w:t>Betreff: Ihre Anmeldung bei der Tennisschule — Sommersaison 2027. Guten Tag [Vorname Nachname]. Vielen Dank für Ihre Anmeldung. Wir haben folgende Angaben erhalten: Kursteilnehmer/in [Name] · Lektionen [z. B. Gruppenkurs 60 Min] · Mögliche Zeiten [Mo 18–20 | Mi 18–21] · Bevorzugt [Mi 19–20]. Die Anmeldung ist verbindlich. Die Kursbestätigung mit Tag, Zeit, Trainer/in und Platz erhalten Sie nach Abschluss der Planung zusammen mit der Rechnung. Freundliche Grüsse, Tennisschule</w:t>
      </w:r>
    </w:p>
    <w:p>
      <w:pPr>
        <w:pStyle w:val="Heading2"/>
      </w:pPr>
      <w:r>
        <w:rPr>
          <w:color w:val="0F5C55"/>
        </w:rPr>
        <w:t>5.2 Feinplanungsphase — Vorschläge zur Entlastung</w:t>
      </w:r>
    </w:p>
    <w:p>
      <w:pPr>
        <w:pStyle w:val="ListNumber"/>
        <w:spacing w:after="60"/>
      </w:pPr>
      <w:r>
        <w:rPr>
          <w:b/>
        </w:rPr>
        <w:t>Nicht erreichbar sein — mit Ansage.</w:t>
      </w:r>
      <w:r>
        <w:t xml:space="preserve"> Combox: «Ich bin auf dem Platz. Anliegen zur Saisonplanung bitte per WhatsApp oder Mail — ich antworte jeweils am Dienstagabend.» Gleicher Text als Auto-Antwort.</w:t>
      </w:r>
    </w:p>
    <w:p>
      <w:pPr>
        <w:pStyle w:val="ListNumber"/>
        <w:spacing w:after="60"/>
      </w:pPr>
      <w:r>
        <w:rPr>
          <w:b/>
        </w:rPr>
        <w:t>Ein fester Block pro Woche.</w:t>
      </w:r>
      <w:r>
        <w:t xml:space="preserve"> Rückmeldungen sammeln, einmal pro Woche erledigen, Antworten gebündelt verschicken. Nach Kurswoche zwei ist der Plan definitiv.</w:t>
      </w:r>
    </w:p>
    <w:p>
      <w:pPr>
        <w:pStyle w:val="ListNumber"/>
        <w:spacing w:after="60"/>
      </w:pPr>
      <w:r>
        <w:rPr>
          <w:b/>
        </w:rPr>
        <w:t>Pendenzenliste aus dem Statusplan:</w:t>
      </w:r>
      <w:r>
        <w:t xml:space="preserve"> Personen, deren Zeit nicht mehr passt, Gruppen mit freien Plätzen, Neuzugänge — abhakbar.</w:t>
      </w:r>
    </w:p>
    <w:p>
      <w:pPr>
        <w:pStyle w:val="ListNumber"/>
        <w:spacing w:after="60"/>
      </w:pPr>
      <w:r>
        <w:rPr>
          <w:b/>
        </w:rPr>
        <w:t>Nachricht statt Anruf:</w:t>
      </w:r>
      <w:r>
        <w:t xml:space="preserve"> «Ihre bisherige Zeit Dienstag 14 Uhr ist nicht möglich. Nach Ihren Angaben passen: (1) Mittwoch 15 Uhr oder (2) Donnerstag 16 Uhr. Antworten Sie bitte mit 1 oder 2.» Das Tool entwirft die Nachricht.</w:t>
      </w:r>
    </w:p>
    <w:p>
      <w:pPr>
        <w:pStyle w:val="ListNumber"/>
        <w:spacing w:after="60"/>
      </w:pPr>
      <w:r>
        <w:rPr>
          <w:b/>
        </w:rPr>
        <w:t>«Wer passt wohin?»</w:t>
      </w:r>
      <w:r>
        <w:t xml:space="preserve"> für Zuspätkommer und freie Plätze.</w:t>
      </w:r>
    </w:p>
    <w:p>
      <w:pPr>
        <w:pStyle w:val="ListNumber"/>
        <w:spacing w:after="60"/>
      </w:pPr>
      <w:r>
        <w:rPr>
          <w:b/>
        </w:rPr>
        <w:t>Die häufigsten Fragen in die Rechnungsmail:</w:t>
      </w:r>
      <w:r>
        <w:t xml:space="preserve"> Kursbeginn, Regen, Zahlungsfrist, «die bestätigte Zeit ist verbindlich; Fragen per Mail, Antwort jeweils am Dienstag».</w:t>
      </w:r>
    </w:p>
    <w:p>
      <w:pPr>
        <w:pStyle w:val="ListNumber"/>
        <w:spacing w:after="60"/>
      </w:pPr>
      <w:r>
        <w:rPr>
          <w:b/>
        </w:rPr>
        <w:t>Erinnerungen vor der Frist:</w:t>
      </w:r>
      <w:r>
        <w:t xml:space="preserve"> zwei Wochen vorher die Trainer-Liste, drei Tage vorher eine Sammelmail.</w:t>
      </w:r>
    </w:p>
    <w:p>
      <w:pPr>
        <w:pStyle w:val="ListNumber"/>
        <w:spacing w:after="60"/>
      </w:pPr>
      <w:r>
        <w:rPr>
          <w:b/>
        </w:rPr>
        <w:t>Eine Person im Team:</w:t>
      </w:r>
      <w:r>
        <w:t xml:space="preserve"> Erinnerungsrunde koordinieren, Rückmeldungen sammeln, Niveau- und Gruppenkorrekturen in Woche eins und zwei innerhalb der eigenen Gruppen.</w:t>
      </w:r>
    </w:p>
    <w:p>
      <w:pPr>
        <w:pStyle w:val="ListNumber"/>
        <w:spacing w:after="60"/>
      </w:pPr>
      <w:r>
        <w:rPr>
          <w:b/>
        </w:rPr>
        <w:t>Trainer nehmen Rückmeldungen auf dem Platz entgegen</w:t>
      </w:r>
      <w:r>
        <w:t xml:space="preserve"> und tragen sie ein.</w:t>
      </w:r>
    </w:p>
    <w:p>
      <w:pPr>
        <w:pStyle w:val="ListNumber"/>
        <w:spacing w:after="60"/>
      </w:pPr>
      <w:r>
        <w:rPr>
          <w:b/>
        </w:rPr>
        <w:t>Notizen landen im Tool</w:t>
      </w:r>
      <w:r>
        <w:t>, nicht im Kopf.</w:t>
      </w:r>
    </w:p>
    <w:p>
      <w:pPr>
        <w:spacing w:after="120"/>
      </w:pPr>
      <w:r>
        <w:t>Nicht vorgesehen: Bestätigung getrennt von der Rechnung · Bestätigungs-Knopf «passt / passt nicht» · Link für Änderungswünsche · ein Bot, der Kunden antwortet.</w:t>
      </w:r>
    </w:p>
    <w:p>
      <w:pPr>
        <w:pStyle w:val="Heading1"/>
      </w:pPr>
      <w:r>
        <w:rPr>
          <w:color w:val="0F5C55"/>
        </w:rPr>
        <w:t>6. Das Tool heute</w:t>
      </w:r>
    </w:p>
    <w:p>
      <w:pPr>
        <w:spacing w:after="120"/>
      </w:pPr>
      <w:r>
        <w:t>Screenshots des Tools nur in der internen Fassung.</w:t>
      </w:r>
    </w:p>
    <w:p>
      <w:pPr>
        <w:spacing w:after="120"/>
      </w:pPr>
      <w:r>
        <w:t>Gebaut: Statusplan mit Drag &amp; Drop, «Wer passt wohin?» mit «Hier einplanen», Anmeldeliste mit Verfügbarkeits-Raster zum Drucken — getestet nur mit den unvollständigen Anmeldungen dieses Winters; die echte Bewährungsprobe kommt mit dem ersten vollständigen digitalen Satz. Zu bauen: Import der Formular-Antworten, Erinnerungslisten, Erfassungsmaske, Pendenzenliste mit Nachrichtenvorlage, Fairgate-Export. Das Tool ist nicht öffentlich verlinkt, weil es die echten Anmeldungen enthält; für Vorführungen kommt eine Fassung mit Testdaten.</w:t>
      </w:r>
    </w:p>
    <w:p>
      <w:pPr>
        <w:pStyle w:val="Heading1"/>
      </w:pPr>
      <w:r>
        <w:rPr>
          <w:color w:val="0F5C55"/>
        </w:rPr>
        <w:t>7. Anhang</w:t>
      </w:r>
    </w:p>
    <w:p>
      <w:pPr>
        <w:spacing w:after="120"/>
      </w:pPr>
      <w:r>
        <w:rPr>
          <w:b/>
        </w:rPr>
        <w:t>Links:</w:t>
      </w:r>
      <w:r>
        <w:t xml:space="preserve"> Unterlagen https://tennisschule-saisonplanung.pages.dev/ · Formular https://anmeldung-tennisschule.pages.dev/ · Andere Recherchen https://tennisschule-saisonplanung.pages.dev/andere-recherchen</w:t>
      </w:r>
    </w:p>
    <w:p>
      <w:pPr>
        <w:spacing w:after="120"/>
      </w:pPr>
      <w:r>
        <w:rPr>
          <w:b/>
        </w:rPr>
        <w:t>Datenschutz:</w:t>
      </w:r>
      <w:r>
        <w:t xml:space="preserve"> Kompaktleitfaden «Datenschutz für Tennisstunden» und Textbausteine (Deutsch/Englisch) für Formular und Website — als Word-Download auf der Unterlagen-Seite, Abschnitt Datenschutz.</w:t>
      </w:r>
    </w:p>
    <w:p>
      <w:pPr>
        <w:spacing w:after="120"/>
      </w:pPr>
      <w:r>
        <w:rPr>
          <w:b/>
        </w:rPr>
        <w:t>Dateien im Projektordner:</w:t>
      </w:r>
      <w:r>
        <w:t xml:space="preserve"> Saisonplanung_Masterdokument.md (dieses Dokument; Word via python3 md_zu_word.py) · Anmeldeformular_Entwurf.html · Software_Vergleich_Tennisschule.html · Prozess_Grafik.html · Saisonplaner 3.0.html (Tool) · seite_hochladen.sh · Bilder/ · Datenschutz/ · Archiv/</w:t>
      </w:r>
    </w:p>
    <w:p>
      <w:pPr>
        <w:spacing w:after="120"/>
      </w:pPr>
      <w:r>
        <w:rPr>
          <w:b/>
        </w:rPr>
        <w:t>Vitis, neuer Betreiber ab April 2027:</w:t>
      </w:r>
      <w:r>
        <w:t xml:space="preserve"> Allschwil ist das Vitis. Umbau und Renovation, möglicherweise Tennisplätze zu Padelplätzen; mehrere Tennisschulen im Haus. Im Sommer spielt die Schule auf 3 Aussenplätzen (zeitweise 4), die Halle ist Backup — betroffen ist vor allem der Winter 27/28.</w:t>
      </w:r>
    </w:p>
    <w:sectPr w:rsidR="00FC693F" w:rsidRPr="0006063C" w:rsidSect="00034616">
      <w:pgSz w:w="15840" w:h="12240" w:orient="landscape"/>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